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5C795" w14:textId="512F46C8" w:rsidR="00563A1B" w:rsidRDefault="12BF1449" w:rsidP="1FC769FA">
      <w:pPr>
        <w:spacing w:before="240" w:after="240"/>
      </w:pPr>
      <w:r w:rsidRPr="1FC769FA">
        <w:rPr>
          <w:rFonts w:ascii="Arial" w:eastAsia="Arial" w:hAnsi="Arial" w:cs="Arial"/>
          <w:b/>
          <w:bCs/>
          <w:color w:val="000000" w:themeColor="text1"/>
        </w:rPr>
        <w:t>2026 Research Conference of the Disability, Law, and Society Network of Australia &amp; Aotearoa New Zealand - Care, Love, and Solidarity</w:t>
      </w:r>
    </w:p>
    <w:p w14:paraId="38690A57" w14:textId="4B3A0C7E" w:rsidR="00563A1B" w:rsidRDefault="12BF1449" w:rsidP="1FC769FA">
      <w:pPr>
        <w:spacing w:before="240" w:after="240"/>
      </w:pPr>
      <w:r w:rsidRPr="1FC769FA">
        <w:rPr>
          <w:rFonts w:ascii="Arial" w:eastAsia="Arial" w:hAnsi="Arial" w:cs="Arial"/>
          <w:b/>
          <w:bCs/>
          <w:color w:val="000000" w:themeColor="text1"/>
        </w:rPr>
        <w:t>10-11 December 2026</w:t>
      </w:r>
    </w:p>
    <w:p w14:paraId="42E0069C" w14:textId="46C37BD0" w:rsidR="00563A1B" w:rsidRDefault="12BF1449" w:rsidP="1FC769FA">
      <w:pPr>
        <w:spacing w:before="240" w:after="240"/>
      </w:pPr>
      <w:r w:rsidRPr="1FC769FA">
        <w:rPr>
          <w:rFonts w:ascii="Arial" w:eastAsia="Arial" w:hAnsi="Arial" w:cs="Arial"/>
          <w:b/>
          <w:bCs/>
          <w:color w:val="000000" w:themeColor="text1"/>
        </w:rPr>
        <w:t>In-person at La Trobe University (City Campus, Melbourne, Australia) and online via Zoom</w:t>
      </w:r>
    </w:p>
    <w:p w14:paraId="2FDD0E77" w14:textId="25C28B87" w:rsidR="00563A1B" w:rsidRDefault="12BF1449" w:rsidP="1FC769FA">
      <w:pPr>
        <w:spacing w:before="240" w:after="240"/>
      </w:pPr>
      <w:r w:rsidRPr="1FC769FA">
        <w:rPr>
          <w:rFonts w:ascii="Arial" w:eastAsia="Arial" w:hAnsi="Arial" w:cs="Arial"/>
          <w:b/>
          <w:bCs/>
          <w:color w:val="000000" w:themeColor="text1"/>
        </w:rPr>
        <w:t xml:space="preserve">Keynote Speaker: Rosemary Kayess (Disability Rights Commissioner, Australian Human Rights Commission) </w:t>
      </w:r>
    </w:p>
    <w:p w14:paraId="783A613A" w14:textId="232680C4" w:rsidR="00563A1B" w:rsidRDefault="4D30FB72" w:rsidP="1FC769FA">
      <w:pPr>
        <w:spacing w:before="240" w:after="240"/>
      </w:pPr>
      <w:r w:rsidRPr="1FC769FA">
        <w:rPr>
          <w:rFonts w:ascii="Arial" w:eastAsia="Arial" w:hAnsi="Arial" w:cs="Arial"/>
          <w:b/>
          <w:bCs/>
          <w:color w:val="000000" w:themeColor="text1"/>
        </w:rPr>
        <w:t xml:space="preserve">Plenary Speaker: </w:t>
      </w:r>
      <w:r w:rsidR="12BF1449" w:rsidRPr="1FC769FA">
        <w:rPr>
          <w:rFonts w:ascii="Arial" w:eastAsia="Arial" w:hAnsi="Arial" w:cs="Arial"/>
          <w:b/>
          <w:bCs/>
          <w:color w:val="000000" w:themeColor="text1"/>
        </w:rPr>
        <w:t>William Ward-Boas (Victorian Advocacy Lead for Individuals with Disability).</w:t>
      </w:r>
    </w:p>
    <w:p w14:paraId="12A0CA5F" w14:textId="67B1A128" w:rsidR="00563A1B" w:rsidRDefault="5E91374F" w:rsidP="1FC769FA">
      <w:pPr>
        <w:spacing w:before="240" w:after="240"/>
      </w:pPr>
      <w:r w:rsidRPr="1FC769FA">
        <w:rPr>
          <w:rFonts w:ascii="Arial" w:eastAsia="Arial" w:hAnsi="Arial" w:cs="Arial"/>
          <w:b/>
          <w:bCs/>
          <w:color w:val="000000" w:themeColor="text1"/>
        </w:rPr>
        <w:t xml:space="preserve">More speakers </w:t>
      </w:r>
      <w:r w:rsidR="1BE730BA" w:rsidRPr="1FC769FA">
        <w:rPr>
          <w:rFonts w:ascii="Arial" w:eastAsia="Arial" w:hAnsi="Arial" w:cs="Arial"/>
          <w:b/>
          <w:bCs/>
          <w:color w:val="000000" w:themeColor="text1"/>
        </w:rPr>
        <w:t>are to</w:t>
      </w:r>
      <w:r w:rsidRPr="1FC769FA">
        <w:rPr>
          <w:rFonts w:ascii="Arial" w:eastAsia="Arial" w:hAnsi="Arial" w:cs="Arial"/>
          <w:b/>
          <w:bCs/>
          <w:color w:val="000000" w:themeColor="text1"/>
        </w:rPr>
        <w:t xml:space="preserve"> be announced.</w:t>
      </w:r>
    </w:p>
    <w:p w14:paraId="09C46BAC" w14:textId="7D05BE11" w:rsidR="00563A1B" w:rsidRDefault="12BF1449" w:rsidP="1FC769FA">
      <w:pPr>
        <w:spacing w:before="240" w:after="240"/>
      </w:pPr>
      <w:r w:rsidRPr="1FC769FA">
        <w:rPr>
          <w:rFonts w:ascii="Arial" w:eastAsia="Arial" w:hAnsi="Arial" w:cs="Arial"/>
          <w:color w:val="000000" w:themeColor="text1"/>
        </w:rPr>
        <w:t>You are invited to submit an abstract to present at the 2026 Research Conference of the Disability, Law and Society Network of Australia &amp; Aotearoa New Zealand.</w:t>
      </w:r>
    </w:p>
    <w:p w14:paraId="2AC2AEC3" w14:textId="41697D4E" w:rsidR="00563A1B" w:rsidRDefault="12BF1449" w:rsidP="1FC769FA">
      <w:pPr>
        <w:spacing w:before="240" w:after="240"/>
      </w:pPr>
      <w:r w:rsidRPr="1FC769FA">
        <w:rPr>
          <w:rFonts w:ascii="Arial" w:eastAsia="Arial" w:hAnsi="Arial" w:cs="Arial"/>
          <w:color w:val="000000" w:themeColor="text1"/>
        </w:rPr>
        <w:t xml:space="preserve">The Conference is a forum for those involved in </w:t>
      </w:r>
      <w:bookmarkStart w:id="0" w:name="_Int_0cGs1Oqb"/>
      <w:r w:rsidRPr="1FC769FA">
        <w:rPr>
          <w:rFonts w:ascii="Arial" w:eastAsia="Arial" w:hAnsi="Arial" w:cs="Arial"/>
          <w:color w:val="000000" w:themeColor="text1"/>
        </w:rPr>
        <w:t>disability</w:t>
      </w:r>
      <w:bookmarkEnd w:id="0"/>
      <w:r w:rsidRPr="1FC769FA">
        <w:rPr>
          <w:rFonts w:ascii="Arial" w:eastAsia="Arial" w:hAnsi="Arial" w:cs="Arial"/>
          <w:color w:val="000000" w:themeColor="text1"/>
        </w:rPr>
        <w:t xml:space="preserve"> law, research, and practice. It focuses on exploring relationships between disability, law, culture, and politics. Disability law is understood broadly to include laws specifically concerning disability, as well as any area of law, policy, or legal practice that affects people with disability; it encompasses all forms of disability. </w:t>
      </w:r>
    </w:p>
    <w:p w14:paraId="20A4D1C9" w14:textId="4CFA9715" w:rsidR="00563A1B" w:rsidRDefault="12BF1449" w:rsidP="1FC769FA">
      <w:pPr>
        <w:spacing w:before="240" w:after="240"/>
      </w:pPr>
      <w:r w:rsidRPr="1FC769FA">
        <w:rPr>
          <w:rFonts w:ascii="Arial" w:eastAsia="Arial" w:hAnsi="Arial" w:cs="Arial"/>
          <w:color w:val="000000" w:themeColor="text1"/>
        </w:rPr>
        <w:t>You can propose a</w:t>
      </w:r>
      <w:r w:rsidR="0F178339" w:rsidRPr="1FC769FA">
        <w:rPr>
          <w:rFonts w:ascii="Arial" w:eastAsia="Arial" w:hAnsi="Arial" w:cs="Arial"/>
          <w:color w:val="000000" w:themeColor="text1"/>
        </w:rPr>
        <w:t>n</w:t>
      </w:r>
      <w:r w:rsidR="0F178339" w:rsidRPr="1FC769FA">
        <w:rPr>
          <w:color w:val="000000" w:themeColor="text1"/>
        </w:rPr>
        <w:t xml:space="preserve"> individual presentation or panel presentation.</w:t>
      </w:r>
      <w:r w:rsidRPr="1FC769FA">
        <w:rPr>
          <w:color w:val="000000" w:themeColor="text1"/>
        </w:rPr>
        <w:t xml:space="preserve"> </w:t>
      </w:r>
    </w:p>
    <w:p w14:paraId="7E1022A9" w14:textId="74D0703E" w:rsidR="00563A1B" w:rsidRDefault="12BF1449" w:rsidP="1FC769FA">
      <w:pPr>
        <w:spacing w:before="240" w:after="240"/>
      </w:pPr>
      <w:r w:rsidRPr="1FC769FA">
        <w:rPr>
          <w:rFonts w:ascii="Arial" w:eastAsia="Arial" w:hAnsi="Arial" w:cs="Arial"/>
          <w:color w:val="000000" w:themeColor="text1"/>
        </w:rPr>
        <w:t>In your presentation, you are encouraged to weave in reflections on your research by reference to the conference theme of ‘Care, Love, and Solidarity’. Questions you might consider are:</w:t>
      </w:r>
    </w:p>
    <w:p w14:paraId="49949F68" w14:textId="65C967D3" w:rsidR="00563A1B" w:rsidRDefault="12BF1449" w:rsidP="1FC769FA">
      <w:pPr>
        <w:spacing w:before="240" w:after="240"/>
        <w:ind w:left="720" w:hanging="360"/>
      </w:pPr>
      <w:r w:rsidRPr="1FC769FA">
        <w:rPr>
          <w:rFonts w:ascii="Times New Roman" w:eastAsia="Times New Roman" w:hAnsi="Times New Roman" w:cs="Times New Roman"/>
          <w:i/>
          <w:iCs/>
          <w:color w:val="000000" w:themeColor="text1"/>
          <w:sz w:val="14"/>
          <w:szCs w:val="14"/>
        </w:rPr>
        <w:t xml:space="preserve"> </w:t>
      </w:r>
      <w:r w:rsidR="000F7A4E">
        <w:rPr>
          <w:rFonts w:ascii="Times New Roman" w:eastAsia="Times New Roman" w:hAnsi="Times New Roman" w:cs="Times New Roman"/>
          <w:i/>
          <w:iCs/>
          <w:color w:val="000000" w:themeColor="text1"/>
          <w:sz w:val="14"/>
          <w:szCs w:val="14"/>
        </w:rPr>
        <w:tab/>
      </w:r>
      <w:r w:rsidRPr="1FC769FA">
        <w:rPr>
          <w:rFonts w:ascii="Times New Roman" w:eastAsia="Times New Roman" w:hAnsi="Times New Roman" w:cs="Times New Roman"/>
          <w:i/>
          <w:iCs/>
          <w:color w:val="000000" w:themeColor="text1"/>
          <w:sz w:val="14"/>
          <w:szCs w:val="14"/>
        </w:rPr>
        <w:t xml:space="preserve"> </w:t>
      </w:r>
      <w:r w:rsidRPr="1FC769FA">
        <w:rPr>
          <w:rFonts w:ascii="Arial" w:eastAsia="Arial" w:hAnsi="Arial" w:cs="Arial"/>
          <w:i/>
          <w:iCs/>
          <w:color w:val="000000" w:themeColor="text1"/>
        </w:rPr>
        <w:t>How and why are ‘care, love, and solidarity’ relevant to research on disability, law, and society?</w:t>
      </w:r>
    </w:p>
    <w:p w14:paraId="2FAB6073" w14:textId="77777777" w:rsidR="00425289" w:rsidRDefault="00425289" w:rsidP="000F7A4E">
      <w:pPr>
        <w:spacing w:before="240" w:after="240"/>
        <w:ind w:left="720"/>
        <w:rPr>
          <w:rFonts w:ascii="Arial" w:eastAsia="Arial" w:hAnsi="Arial" w:cs="Arial"/>
          <w:i/>
          <w:iCs/>
          <w:color w:val="000000" w:themeColor="text1"/>
        </w:rPr>
      </w:pPr>
      <w:r w:rsidRPr="00425289">
        <w:rPr>
          <w:rFonts w:ascii="Arial" w:eastAsia="Arial" w:hAnsi="Arial" w:cs="Arial"/>
          <w:i/>
          <w:iCs/>
          <w:color w:val="000000" w:themeColor="text1"/>
        </w:rPr>
        <w:t xml:space="preserve">What do care, love and solidarity mean in the context of disability, law, and justice for Aboriginal and Torres Strait Islander people with disabilities and tāngata </w:t>
      </w:r>
      <w:proofErr w:type="spellStart"/>
      <w:r w:rsidRPr="00425289">
        <w:rPr>
          <w:rFonts w:ascii="Arial" w:eastAsia="Arial" w:hAnsi="Arial" w:cs="Arial"/>
          <w:i/>
          <w:iCs/>
          <w:color w:val="000000" w:themeColor="text1"/>
        </w:rPr>
        <w:t>whaikaha</w:t>
      </w:r>
      <w:proofErr w:type="spellEnd"/>
      <w:r w:rsidRPr="00425289">
        <w:rPr>
          <w:rFonts w:ascii="Arial" w:eastAsia="Arial" w:hAnsi="Arial" w:cs="Arial"/>
          <w:i/>
          <w:iCs/>
          <w:color w:val="000000" w:themeColor="text1"/>
        </w:rPr>
        <w:t xml:space="preserve"> Māori?</w:t>
      </w:r>
    </w:p>
    <w:p w14:paraId="0E0B5EB5" w14:textId="384E51F8" w:rsidR="00563A1B" w:rsidRDefault="12BF1449" w:rsidP="000F7A4E">
      <w:pPr>
        <w:spacing w:before="240" w:after="240"/>
        <w:ind w:left="720"/>
      </w:pPr>
      <w:r w:rsidRPr="1FC769FA">
        <w:rPr>
          <w:rFonts w:ascii="Arial" w:eastAsia="Arial" w:hAnsi="Arial" w:cs="Arial"/>
          <w:i/>
          <w:iCs/>
          <w:color w:val="000000" w:themeColor="text1"/>
        </w:rPr>
        <w:t xml:space="preserve">Is </w:t>
      </w:r>
      <w:proofErr w:type="spellStart"/>
      <w:r w:rsidRPr="1FC769FA">
        <w:rPr>
          <w:rFonts w:ascii="Arial" w:eastAsia="Arial" w:hAnsi="Arial" w:cs="Arial"/>
          <w:i/>
          <w:iCs/>
          <w:color w:val="000000" w:themeColor="text1"/>
        </w:rPr>
        <w:t>centring</w:t>
      </w:r>
      <w:proofErr w:type="spellEnd"/>
      <w:r w:rsidRPr="1FC769FA">
        <w:rPr>
          <w:rFonts w:ascii="Arial" w:eastAsia="Arial" w:hAnsi="Arial" w:cs="Arial"/>
          <w:i/>
          <w:iCs/>
          <w:color w:val="000000" w:themeColor="text1"/>
        </w:rPr>
        <w:t xml:space="preserve"> ‘care’ in discussions about disability law appropriate? If so, what is needed to centre care in the research and practice of disability law?</w:t>
      </w:r>
    </w:p>
    <w:p w14:paraId="1516FE8C" w14:textId="582A52F2" w:rsidR="00563A1B" w:rsidRDefault="12BF1449" w:rsidP="000F7A4E">
      <w:pPr>
        <w:spacing w:before="240" w:after="240"/>
        <w:ind w:left="720"/>
      </w:pPr>
      <w:r w:rsidRPr="1FC769FA">
        <w:rPr>
          <w:rFonts w:ascii="Arial" w:eastAsia="Arial" w:hAnsi="Arial" w:cs="Arial"/>
          <w:i/>
          <w:iCs/>
          <w:color w:val="000000" w:themeColor="text1"/>
        </w:rPr>
        <w:t xml:space="preserve">How can research shed light on the possibilities and limitations of care as a legal and political concept? </w:t>
      </w:r>
    </w:p>
    <w:p w14:paraId="2CA0CF5A" w14:textId="143A7EC8" w:rsidR="00563A1B" w:rsidRDefault="12BF1449" w:rsidP="000F7A4E">
      <w:pPr>
        <w:spacing w:before="240" w:after="240"/>
        <w:ind w:left="720"/>
      </w:pPr>
      <w:r w:rsidRPr="1FC769FA">
        <w:rPr>
          <w:rFonts w:ascii="Arial" w:eastAsia="Arial" w:hAnsi="Arial" w:cs="Arial"/>
          <w:i/>
          <w:iCs/>
          <w:color w:val="000000" w:themeColor="text1"/>
        </w:rPr>
        <w:lastRenderedPageBreak/>
        <w:t xml:space="preserve">What place is there for love in questions of law and justice concerning disability? Can love </w:t>
      </w:r>
      <w:proofErr w:type="gramStart"/>
      <w:r w:rsidRPr="1FC769FA">
        <w:rPr>
          <w:rFonts w:ascii="Arial" w:eastAsia="Arial" w:hAnsi="Arial" w:cs="Arial"/>
          <w:i/>
          <w:iCs/>
          <w:color w:val="000000" w:themeColor="text1"/>
        </w:rPr>
        <w:t>be</w:t>
      </w:r>
      <w:proofErr w:type="gramEnd"/>
      <w:r w:rsidRPr="1FC769FA">
        <w:rPr>
          <w:rFonts w:ascii="Arial" w:eastAsia="Arial" w:hAnsi="Arial" w:cs="Arial"/>
          <w:i/>
          <w:iCs/>
          <w:color w:val="000000" w:themeColor="text1"/>
        </w:rPr>
        <w:t xml:space="preserve"> centred without romanticising care and dependency, or sustaining outdated understandings of charity?</w:t>
      </w:r>
    </w:p>
    <w:p w14:paraId="0ABA9FE9" w14:textId="392E4443" w:rsidR="00563A1B" w:rsidRDefault="12BF1449" w:rsidP="000F7A4E">
      <w:pPr>
        <w:spacing w:before="240" w:after="240"/>
        <w:ind w:left="720"/>
      </w:pPr>
      <w:r w:rsidRPr="1FC769FA">
        <w:rPr>
          <w:rFonts w:ascii="Arial" w:eastAsia="Arial" w:hAnsi="Arial" w:cs="Arial"/>
          <w:i/>
          <w:iCs/>
          <w:color w:val="000000" w:themeColor="text1"/>
        </w:rPr>
        <w:t>What does solidarity require of researchers, practitioners, and institutions?</w:t>
      </w:r>
    </w:p>
    <w:p w14:paraId="6647E634" w14:textId="65DC8E4A" w:rsidR="00563A1B" w:rsidRDefault="12BF1449" w:rsidP="000F7A4E">
      <w:pPr>
        <w:spacing w:before="240" w:after="240"/>
        <w:ind w:left="720"/>
      </w:pPr>
      <w:r w:rsidRPr="1FC769FA">
        <w:rPr>
          <w:rFonts w:ascii="Arial" w:eastAsia="Arial" w:hAnsi="Arial" w:cs="Arial"/>
          <w:i/>
          <w:iCs/>
          <w:color w:val="000000" w:themeColor="text1"/>
        </w:rPr>
        <w:t xml:space="preserve">What role is there for law in creating caring </w:t>
      </w:r>
      <w:r w:rsidRPr="1FC769FA">
        <w:rPr>
          <w:rFonts w:ascii="Arial" w:eastAsia="Arial" w:hAnsi="Arial" w:cs="Arial"/>
          <w:i/>
          <w:iCs/>
          <w:color w:val="000000" w:themeColor="text1"/>
          <w:u w:val="single"/>
        </w:rPr>
        <w:t>systems</w:t>
      </w:r>
      <w:r w:rsidRPr="1FC769FA">
        <w:rPr>
          <w:rFonts w:ascii="Arial" w:eastAsia="Arial" w:hAnsi="Arial" w:cs="Arial"/>
          <w:i/>
          <w:iCs/>
          <w:color w:val="000000" w:themeColor="text1"/>
        </w:rPr>
        <w:t xml:space="preserve"> and </w:t>
      </w:r>
      <w:r w:rsidRPr="1FC769FA">
        <w:rPr>
          <w:rFonts w:ascii="Arial" w:eastAsia="Arial" w:hAnsi="Arial" w:cs="Arial"/>
          <w:i/>
          <w:iCs/>
          <w:color w:val="000000" w:themeColor="text1"/>
          <w:u w:val="single"/>
        </w:rPr>
        <w:t>communities</w:t>
      </w:r>
      <w:r w:rsidRPr="1FC769FA">
        <w:rPr>
          <w:rFonts w:ascii="Arial" w:eastAsia="Arial" w:hAnsi="Arial" w:cs="Arial"/>
          <w:i/>
          <w:iCs/>
          <w:color w:val="000000" w:themeColor="text1"/>
        </w:rPr>
        <w:t xml:space="preserve">? Are caring </w:t>
      </w:r>
      <w:r w:rsidRPr="1FC769FA">
        <w:rPr>
          <w:rFonts w:ascii="Arial" w:eastAsia="Arial" w:hAnsi="Arial" w:cs="Arial"/>
          <w:i/>
          <w:iCs/>
          <w:color w:val="000000" w:themeColor="text1"/>
          <w:u w:val="single"/>
        </w:rPr>
        <w:t>systems</w:t>
      </w:r>
      <w:r w:rsidRPr="1FC769FA">
        <w:rPr>
          <w:rFonts w:ascii="Arial" w:eastAsia="Arial" w:hAnsi="Arial" w:cs="Arial"/>
          <w:i/>
          <w:iCs/>
          <w:color w:val="000000" w:themeColor="text1"/>
        </w:rPr>
        <w:t xml:space="preserve"> possible and if so, what do they look like?</w:t>
      </w:r>
    </w:p>
    <w:p w14:paraId="275BD33D" w14:textId="291F51FB" w:rsidR="00563A1B" w:rsidRDefault="12BF1449" w:rsidP="000F7A4E">
      <w:pPr>
        <w:spacing w:before="240" w:after="240"/>
        <w:ind w:left="720"/>
      </w:pPr>
      <w:r w:rsidRPr="1FC769FA">
        <w:rPr>
          <w:rFonts w:ascii="Arial" w:eastAsia="Arial" w:hAnsi="Arial" w:cs="Arial"/>
          <w:i/>
          <w:iCs/>
          <w:color w:val="000000" w:themeColor="text1"/>
        </w:rPr>
        <w:t>Whose care is recognised, valued, or rendered invisible by law and policy?</w:t>
      </w:r>
    </w:p>
    <w:p w14:paraId="5E8A7121" w14:textId="468AAA3D" w:rsidR="00563A1B" w:rsidRDefault="12BF1449" w:rsidP="000F7A4E">
      <w:pPr>
        <w:spacing w:before="240" w:after="240"/>
        <w:ind w:left="720"/>
      </w:pPr>
      <w:r w:rsidRPr="1FC769FA">
        <w:rPr>
          <w:rFonts w:ascii="Arial" w:eastAsia="Arial" w:hAnsi="Arial" w:cs="Arial"/>
          <w:i/>
          <w:iCs/>
          <w:color w:val="000000" w:themeColor="text1"/>
        </w:rPr>
        <w:t xml:space="preserve">What role should law have in mutual aid and other community practices of care and solidarity? </w:t>
      </w:r>
    </w:p>
    <w:p w14:paraId="7C881D3A" w14:textId="18FA9333" w:rsidR="00563A1B" w:rsidRDefault="12BF1449" w:rsidP="000F7A4E">
      <w:pPr>
        <w:spacing w:before="240" w:after="240"/>
        <w:ind w:left="720"/>
      </w:pPr>
      <w:r w:rsidRPr="1FC769FA">
        <w:rPr>
          <w:rFonts w:ascii="Arial" w:eastAsia="Arial" w:hAnsi="Arial" w:cs="Arial"/>
          <w:i/>
          <w:iCs/>
          <w:color w:val="000000" w:themeColor="text1"/>
        </w:rPr>
        <w:t>How can cross-movement and cross-community solidarity advance disability rights and disability justice through law?</w:t>
      </w:r>
    </w:p>
    <w:p w14:paraId="53AC16E1" w14:textId="3F3508CF" w:rsidR="00563A1B" w:rsidRDefault="12BF1449" w:rsidP="000F7A4E">
      <w:pPr>
        <w:spacing w:before="240" w:after="240"/>
        <w:ind w:left="720"/>
      </w:pPr>
      <w:r w:rsidRPr="1FC769FA">
        <w:rPr>
          <w:rFonts w:ascii="Arial" w:eastAsia="Arial" w:hAnsi="Arial" w:cs="Arial"/>
          <w:i/>
          <w:iCs/>
          <w:color w:val="000000" w:themeColor="text1"/>
        </w:rPr>
        <w:t>How can disability law and society research be a practice of care, love and solidarity?</w:t>
      </w:r>
    </w:p>
    <w:p w14:paraId="7C5C6313" w14:textId="484721CC" w:rsidR="00563A1B" w:rsidRDefault="12BF1449" w:rsidP="1FC769FA">
      <w:pPr>
        <w:shd w:val="clear" w:color="auto" w:fill="FFFFFF" w:themeFill="background1"/>
        <w:spacing w:after="0"/>
        <w:ind w:left="720"/>
      </w:pPr>
      <w:r w:rsidRPr="1FC769FA">
        <w:rPr>
          <w:rFonts w:ascii="Arial" w:eastAsia="Arial" w:hAnsi="Arial" w:cs="Arial"/>
          <w:i/>
          <w:iCs/>
          <w:color w:val="000000" w:themeColor="text1"/>
        </w:rPr>
        <w:t>How have love, care work, interdependence, disability, and romance historically shaped women's social and economic roles, particularly for women of colour and disabled women?</w:t>
      </w:r>
    </w:p>
    <w:p w14:paraId="1E340256" w14:textId="2FA0355D" w:rsidR="00563A1B" w:rsidRDefault="00563A1B" w:rsidP="1FC769FA">
      <w:pPr>
        <w:shd w:val="clear" w:color="auto" w:fill="FFFFFF" w:themeFill="background1"/>
        <w:spacing w:after="0"/>
      </w:pPr>
    </w:p>
    <w:p w14:paraId="2AED948D" w14:textId="34C6FD22" w:rsidR="00563A1B" w:rsidRDefault="12BF1449" w:rsidP="1FC769FA">
      <w:pPr>
        <w:shd w:val="clear" w:color="auto" w:fill="FFFFFF" w:themeFill="background1"/>
        <w:spacing w:after="0"/>
        <w:ind w:left="720"/>
      </w:pPr>
      <w:r w:rsidRPr="1FC769FA">
        <w:rPr>
          <w:rFonts w:ascii="Arial" w:eastAsia="Arial" w:hAnsi="Arial" w:cs="Arial"/>
          <w:i/>
          <w:iCs/>
          <w:color w:val="000000" w:themeColor="text1"/>
        </w:rPr>
        <w:t>What ethical issues arise from distinguishing between paid and unpaid care work, particularly in the context of disability, and how do these affect women and others in informal caring relationships?</w:t>
      </w:r>
    </w:p>
    <w:p w14:paraId="349E391B" w14:textId="08D652A4" w:rsidR="00563A1B" w:rsidRDefault="00563A1B" w:rsidP="1FC769FA">
      <w:pPr>
        <w:shd w:val="clear" w:color="auto" w:fill="FFFFFF" w:themeFill="background1"/>
        <w:spacing w:after="0"/>
        <w:ind w:left="720"/>
      </w:pPr>
    </w:p>
    <w:p w14:paraId="2AA845E9" w14:textId="1E9DDEE7" w:rsidR="00563A1B" w:rsidRDefault="12BF1449" w:rsidP="1FC769FA">
      <w:pPr>
        <w:shd w:val="clear" w:color="auto" w:fill="FFFFFF" w:themeFill="background1"/>
        <w:spacing w:after="0"/>
        <w:ind w:left="720"/>
      </w:pPr>
      <w:r w:rsidRPr="1FC769FA">
        <w:rPr>
          <w:rFonts w:ascii="Arial" w:eastAsia="Arial" w:hAnsi="Arial" w:cs="Arial"/>
          <w:i/>
          <w:iCs/>
          <w:color w:val="000000" w:themeColor="text1"/>
        </w:rPr>
        <w:t>Do contemporary critiques of care, intimacy, dependency, gender and disability challenge or strengthen the recognition and value of informal care relationships?</w:t>
      </w:r>
    </w:p>
    <w:p w14:paraId="6C9D216B" w14:textId="40FE117E" w:rsidR="00563A1B" w:rsidRDefault="12BF1449" w:rsidP="1FC769FA">
      <w:pPr>
        <w:spacing w:before="240" w:after="240"/>
      </w:pPr>
      <w:r w:rsidRPr="1FC769FA">
        <w:rPr>
          <w:rFonts w:ascii="Arial" w:eastAsia="Arial" w:hAnsi="Arial" w:cs="Arial"/>
          <w:color w:val="000000" w:themeColor="text1"/>
        </w:rPr>
        <w:t xml:space="preserve">The Conference is open to everyone involved in disability law research and practice, including students, researchers, activists, advocates, and legal practitioners. People with </w:t>
      </w:r>
      <w:bookmarkStart w:id="1" w:name="_Int_tYbK2kC6"/>
      <w:proofErr w:type="gramStart"/>
      <w:r w:rsidRPr="1FC769FA">
        <w:rPr>
          <w:rFonts w:ascii="Arial" w:eastAsia="Arial" w:hAnsi="Arial" w:cs="Arial"/>
          <w:color w:val="000000" w:themeColor="text1"/>
        </w:rPr>
        <w:t>disability</w:t>
      </w:r>
      <w:bookmarkEnd w:id="1"/>
      <w:proofErr w:type="gramEnd"/>
      <w:r w:rsidRPr="1FC769FA">
        <w:rPr>
          <w:rFonts w:ascii="Arial" w:eastAsia="Arial" w:hAnsi="Arial" w:cs="Arial"/>
          <w:color w:val="000000" w:themeColor="text1"/>
        </w:rPr>
        <w:t xml:space="preserve"> are encouraged to participate.</w:t>
      </w:r>
    </w:p>
    <w:p w14:paraId="606FE34C" w14:textId="4B0EB9AA" w:rsidR="00563A1B" w:rsidRDefault="12BF1449" w:rsidP="1FC769FA">
      <w:pPr>
        <w:spacing w:before="240" w:after="240"/>
      </w:pPr>
      <w:r w:rsidRPr="1FC769FA">
        <w:rPr>
          <w:rFonts w:ascii="Arial" w:eastAsia="Arial" w:hAnsi="Arial" w:cs="Arial"/>
          <w:color w:val="000000" w:themeColor="text1"/>
        </w:rPr>
        <w:t xml:space="preserve">Presenter spots are limited and unfortunately not all abstracts will be accepted. Please </w:t>
      </w:r>
      <w:r w:rsidR="61FEDA90" w:rsidRPr="1FC769FA">
        <w:rPr>
          <w:rFonts w:ascii="Arial" w:eastAsia="Arial" w:hAnsi="Arial" w:cs="Arial"/>
          <w:color w:val="000000" w:themeColor="text1"/>
        </w:rPr>
        <w:t>ensure that</w:t>
      </w:r>
      <w:r w:rsidRPr="1FC769FA">
        <w:rPr>
          <w:rFonts w:ascii="Arial" w:eastAsia="Arial" w:hAnsi="Arial" w:cs="Arial"/>
          <w:color w:val="000000" w:themeColor="text1"/>
        </w:rPr>
        <w:t xml:space="preserve"> your abstract demonstrates a clear connection to the conference theme. Priority will be given to presenters based in Australia and Aotearoa New Zealand. The Conference will include a workshop (likely for half a day) for Higher Degree Researchers and Early Career Researchers.</w:t>
      </w:r>
    </w:p>
    <w:p w14:paraId="762C42B9" w14:textId="3073EBA0" w:rsidR="00563A1B" w:rsidRDefault="12BF1449" w:rsidP="1FC769FA">
      <w:pPr>
        <w:spacing w:before="240" w:after="240"/>
      </w:pPr>
      <w:r w:rsidRPr="1FC769FA">
        <w:rPr>
          <w:rFonts w:ascii="Arial" w:eastAsia="Arial" w:hAnsi="Arial" w:cs="Arial"/>
          <w:color w:val="000000" w:themeColor="text1"/>
        </w:rPr>
        <w:t xml:space="preserve">The event is </w:t>
      </w:r>
      <w:bookmarkStart w:id="2" w:name="_Int_UKAXi4OP"/>
      <w:r w:rsidRPr="1FC769FA">
        <w:rPr>
          <w:rFonts w:ascii="Arial" w:eastAsia="Arial" w:hAnsi="Arial" w:cs="Arial"/>
          <w:color w:val="000000" w:themeColor="text1"/>
        </w:rPr>
        <w:t>hybrid</w:t>
      </w:r>
      <w:bookmarkEnd w:id="2"/>
      <w:r w:rsidRPr="1FC769FA">
        <w:rPr>
          <w:rFonts w:ascii="Arial" w:eastAsia="Arial" w:hAnsi="Arial" w:cs="Arial"/>
          <w:color w:val="000000" w:themeColor="text1"/>
        </w:rPr>
        <w:t xml:space="preserve">. In the spirit of reciprocity and collegiality, online presenters will be expected to attend other presenters’ sessions during the conference. Please specify </w:t>
      </w:r>
      <w:r w:rsidRPr="1FC769FA">
        <w:rPr>
          <w:rFonts w:ascii="Arial" w:eastAsia="Arial" w:hAnsi="Arial" w:cs="Arial"/>
          <w:color w:val="000000" w:themeColor="text1"/>
        </w:rPr>
        <w:lastRenderedPageBreak/>
        <w:t>accessibility requirements when submitting your abstract. We are currently exploring the possibility of travel support for people who are unwaged or do not have access to travel funding. Please indicate if required and we will update you once funding is confirmed.</w:t>
      </w:r>
    </w:p>
    <w:p w14:paraId="68F8B55B" w14:textId="4E072B7D" w:rsidR="00563A1B" w:rsidRDefault="12BF1449" w:rsidP="1FC769FA">
      <w:pPr>
        <w:spacing w:before="240" w:after="240"/>
      </w:pPr>
      <w:r w:rsidRPr="1FC769FA">
        <w:rPr>
          <w:rFonts w:ascii="Arial" w:eastAsia="Arial" w:hAnsi="Arial" w:cs="Arial"/>
          <w:color w:val="000000" w:themeColor="text1"/>
        </w:rPr>
        <w:t xml:space="preserve">Please submit your abstract here: </w:t>
      </w:r>
      <w:hyperlink r:id="rId5">
        <w:r w:rsidR="2921480F" w:rsidRPr="1FC769FA">
          <w:rPr>
            <w:rStyle w:val="Hyperlink"/>
          </w:rPr>
          <w:t>Disability, Law, and Society Network: 2026 Research Conference abstract submission form – Fill out form</w:t>
        </w:r>
      </w:hyperlink>
    </w:p>
    <w:p w14:paraId="726DCFEA" w14:textId="538A6CB0" w:rsidR="00563A1B" w:rsidRDefault="78666473" w:rsidP="1FC769FA">
      <w:pPr>
        <w:spacing w:before="240" w:after="240"/>
      </w:pPr>
      <w:r w:rsidRPr="1FC769FA">
        <w:t xml:space="preserve">You may scan this QR code to submit your abstract: </w:t>
      </w:r>
    </w:p>
    <w:p w14:paraId="3BAEA63F" w14:textId="05B61C1D" w:rsidR="00563A1B" w:rsidRDefault="78666473" w:rsidP="1FC769FA">
      <w:pPr>
        <w:spacing w:before="240" w:after="240"/>
      </w:pPr>
      <w:r>
        <w:rPr>
          <w:noProof/>
        </w:rPr>
        <w:drawing>
          <wp:inline distT="0" distB="0" distL="0" distR="0" wp14:anchorId="19FA7641" wp14:editId="186384D1">
            <wp:extent cx="1571625" cy="1571625"/>
            <wp:effectExtent l="0" t="0" r="0" b="0"/>
            <wp:docPr id="16805942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594248" name="Picture 1680594248"/>
                    <pic:cNvPicPr/>
                  </pic:nvPicPr>
                  <pic:blipFill>
                    <a:blip r:embed="rId6">
                      <a:extLst>
                        <a:ext uri="{28A0092B-C50C-407E-A947-70E740481C1C}">
                          <a14:useLocalDpi xmlns:a14="http://schemas.microsoft.com/office/drawing/2010/main"/>
                        </a:ext>
                      </a:extLst>
                    </a:blip>
                    <a:stretch>
                      <a:fillRect/>
                    </a:stretch>
                  </pic:blipFill>
                  <pic:spPr>
                    <a:xfrm>
                      <a:off x="0" y="0"/>
                      <a:ext cx="1571625" cy="1571625"/>
                    </a:xfrm>
                    <a:prstGeom prst="rect">
                      <a:avLst/>
                    </a:prstGeom>
                  </pic:spPr>
                </pic:pic>
              </a:graphicData>
            </a:graphic>
          </wp:inline>
        </w:drawing>
      </w:r>
    </w:p>
    <w:p w14:paraId="13222077" w14:textId="4D6E374C" w:rsidR="00563A1B" w:rsidRDefault="12BF1449" w:rsidP="1FC769FA">
      <w:pPr>
        <w:spacing w:before="240" w:after="240"/>
        <w:rPr>
          <w:rFonts w:ascii="Arial" w:eastAsia="Arial" w:hAnsi="Arial" w:cs="Arial"/>
          <w:b/>
          <w:bCs/>
          <w:color w:val="000000" w:themeColor="text1"/>
        </w:rPr>
      </w:pPr>
      <w:r w:rsidRPr="1FC769FA">
        <w:rPr>
          <w:rFonts w:ascii="Arial" w:eastAsia="Arial" w:hAnsi="Arial" w:cs="Arial"/>
          <w:color w:val="000000" w:themeColor="text1"/>
        </w:rPr>
        <w:t xml:space="preserve">The abstract deadline is </w:t>
      </w:r>
      <w:r w:rsidR="5D9048C6" w:rsidRPr="1FC769FA">
        <w:rPr>
          <w:rFonts w:ascii="Arial" w:eastAsia="Arial" w:hAnsi="Arial" w:cs="Arial"/>
          <w:b/>
          <w:bCs/>
          <w:color w:val="000000" w:themeColor="text1"/>
        </w:rPr>
        <w:t>1</w:t>
      </w:r>
      <w:r w:rsidR="5D9048C6" w:rsidRPr="1FC769FA">
        <w:rPr>
          <w:rFonts w:ascii="Arial" w:eastAsia="Arial" w:hAnsi="Arial" w:cs="Arial"/>
          <w:b/>
          <w:bCs/>
          <w:color w:val="000000" w:themeColor="text1"/>
          <w:vertAlign w:val="superscript"/>
        </w:rPr>
        <w:t>st</w:t>
      </w:r>
      <w:r w:rsidR="5D9048C6" w:rsidRPr="1FC769FA">
        <w:rPr>
          <w:rFonts w:ascii="Arial" w:eastAsia="Arial" w:hAnsi="Arial" w:cs="Arial"/>
          <w:b/>
          <w:bCs/>
          <w:color w:val="000000" w:themeColor="text1"/>
        </w:rPr>
        <w:t xml:space="preserve"> October 2026. </w:t>
      </w:r>
    </w:p>
    <w:p w14:paraId="229CC1F9" w14:textId="1BD69C14" w:rsidR="00563A1B" w:rsidRDefault="12BF1449" w:rsidP="1FC769FA">
      <w:pPr>
        <w:spacing w:before="240" w:after="240"/>
      </w:pPr>
      <w:r w:rsidRPr="1FC769FA">
        <w:rPr>
          <w:rFonts w:ascii="Arial" w:eastAsia="Arial" w:hAnsi="Arial" w:cs="Arial"/>
          <w:color w:val="000000" w:themeColor="text1"/>
        </w:rPr>
        <w:t>The selection panel will consider the following criteria:</w:t>
      </w:r>
    </w:p>
    <w:p w14:paraId="3AD48337" w14:textId="63F7B339" w:rsidR="00563A1B" w:rsidRDefault="12BF1449" w:rsidP="1FC769FA">
      <w:pPr>
        <w:pStyle w:val="ListParagraph"/>
        <w:numPr>
          <w:ilvl w:val="0"/>
          <w:numId w:val="1"/>
        </w:numPr>
        <w:spacing w:before="240" w:after="0"/>
        <w:rPr>
          <w:rFonts w:ascii="Arial" w:eastAsia="Arial" w:hAnsi="Arial" w:cs="Arial"/>
          <w:color w:val="000000" w:themeColor="text1"/>
        </w:rPr>
      </w:pPr>
      <w:r w:rsidRPr="1FC769FA">
        <w:rPr>
          <w:rFonts w:ascii="Arial" w:eastAsia="Arial" w:hAnsi="Arial" w:cs="Arial"/>
          <w:color w:val="000000" w:themeColor="text1"/>
        </w:rPr>
        <w:t>the strength of the proposal’s connection to disability, law and society and the conference theme of ‘Care, Love, and Solidarity’;</w:t>
      </w:r>
    </w:p>
    <w:p w14:paraId="592921FA" w14:textId="20344153" w:rsidR="00563A1B" w:rsidRDefault="12BF1449" w:rsidP="1FC769FA">
      <w:pPr>
        <w:pStyle w:val="ListParagraph"/>
        <w:numPr>
          <w:ilvl w:val="0"/>
          <w:numId w:val="1"/>
        </w:numPr>
        <w:spacing w:after="0"/>
        <w:rPr>
          <w:rFonts w:ascii="Arial" w:eastAsia="Arial" w:hAnsi="Arial" w:cs="Arial"/>
          <w:color w:val="000000" w:themeColor="text1"/>
        </w:rPr>
      </w:pPr>
      <w:r w:rsidRPr="1FC769FA">
        <w:rPr>
          <w:rFonts w:ascii="Arial" w:eastAsia="Arial" w:hAnsi="Arial" w:cs="Arial"/>
          <w:color w:val="000000" w:themeColor="text1"/>
        </w:rPr>
        <w:t xml:space="preserve">the significance and potential contribution of the work to </w:t>
      </w:r>
      <w:proofErr w:type="gramStart"/>
      <w:r w:rsidRPr="1FC769FA">
        <w:rPr>
          <w:rFonts w:ascii="Arial" w:eastAsia="Arial" w:hAnsi="Arial" w:cs="Arial"/>
          <w:color w:val="000000" w:themeColor="text1"/>
        </w:rPr>
        <w:t>disability law</w:t>
      </w:r>
      <w:proofErr w:type="gramEnd"/>
      <w:r w:rsidRPr="1FC769FA">
        <w:rPr>
          <w:rFonts w:ascii="Arial" w:eastAsia="Arial" w:hAnsi="Arial" w:cs="Arial"/>
          <w:color w:val="000000" w:themeColor="text1"/>
        </w:rPr>
        <w:t xml:space="preserve"> research, practice or advocacy;</w:t>
      </w:r>
    </w:p>
    <w:p w14:paraId="3471D7C5" w14:textId="6C0EB75D" w:rsidR="00563A1B" w:rsidRDefault="12BF1449" w:rsidP="1FC769FA">
      <w:pPr>
        <w:pStyle w:val="ListParagraph"/>
        <w:numPr>
          <w:ilvl w:val="0"/>
          <w:numId w:val="1"/>
        </w:numPr>
        <w:spacing w:after="0"/>
        <w:rPr>
          <w:rFonts w:ascii="Arial" w:eastAsia="Arial" w:hAnsi="Arial" w:cs="Arial"/>
          <w:color w:val="000000" w:themeColor="text1"/>
        </w:rPr>
      </w:pPr>
      <w:r w:rsidRPr="1FC769FA">
        <w:rPr>
          <w:rFonts w:ascii="Arial" w:eastAsia="Arial" w:hAnsi="Arial" w:cs="Arial"/>
          <w:color w:val="000000" w:themeColor="text1"/>
        </w:rPr>
        <w:t>its engagement with the perspectives and lived experience of people with disability;</w:t>
      </w:r>
    </w:p>
    <w:p w14:paraId="09EF5BFF" w14:textId="62FF3EE2" w:rsidR="00563A1B" w:rsidRDefault="12BF1449" w:rsidP="1FC769FA">
      <w:pPr>
        <w:pStyle w:val="ListParagraph"/>
        <w:numPr>
          <w:ilvl w:val="0"/>
          <w:numId w:val="1"/>
        </w:numPr>
        <w:spacing w:after="0"/>
        <w:rPr>
          <w:rFonts w:ascii="Arial" w:eastAsia="Arial" w:hAnsi="Arial" w:cs="Arial"/>
          <w:color w:val="000000" w:themeColor="text1"/>
        </w:rPr>
      </w:pPr>
      <w:r w:rsidRPr="1FC769FA">
        <w:rPr>
          <w:rFonts w:ascii="Arial" w:eastAsia="Arial" w:hAnsi="Arial" w:cs="Arial"/>
          <w:color w:val="000000" w:themeColor="text1"/>
        </w:rPr>
        <w:t>its potential to generate discussion and exchange among conference participants; and</w:t>
      </w:r>
    </w:p>
    <w:p w14:paraId="4E73A558" w14:textId="67825BC9" w:rsidR="00563A1B" w:rsidRDefault="26E4D446" w:rsidP="1FC769FA">
      <w:pPr>
        <w:pStyle w:val="ListParagraph"/>
        <w:numPr>
          <w:ilvl w:val="0"/>
          <w:numId w:val="1"/>
        </w:numPr>
        <w:spacing w:after="240"/>
        <w:rPr>
          <w:rFonts w:ascii="Arial" w:eastAsia="Arial" w:hAnsi="Arial" w:cs="Arial"/>
          <w:color w:val="000000" w:themeColor="text1"/>
        </w:rPr>
      </w:pPr>
      <w:r w:rsidRPr="1FC769FA">
        <w:rPr>
          <w:rFonts w:ascii="Arial" w:eastAsia="Arial" w:hAnsi="Arial" w:cs="Arial"/>
          <w:color w:val="000000" w:themeColor="text1"/>
        </w:rPr>
        <w:t>The</w:t>
      </w:r>
      <w:r w:rsidR="12BF1449" w:rsidRPr="1FC769FA">
        <w:rPr>
          <w:rFonts w:ascii="Arial" w:eastAsia="Arial" w:hAnsi="Arial" w:cs="Arial"/>
          <w:color w:val="000000" w:themeColor="text1"/>
        </w:rPr>
        <w:t xml:space="preserve"> clarity and feasibility of the proposed presentation or session.</w:t>
      </w:r>
    </w:p>
    <w:p w14:paraId="5D4CAA95" w14:textId="4EEB45BF" w:rsidR="00563A1B" w:rsidRDefault="12BF1449" w:rsidP="1FC769FA">
      <w:pPr>
        <w:spacing w:before="240" w:after="240"/>
      </w:pPr>
      <w:r w:rsidRPr="1FC769FA">
        <w:rPr>
          <w:rFonts w:ascii="Arial" w:eastAsia="Arial" w:hAnsi="Arial" w:cs="Arial"/>
          <w:color w:val="000000" w:themeColor="text1"/>
        </w:rPr>
        <w:t xml:space="preserve">Proposals for a panel should also demonstrate a coherent focus and explain how the contributions will work together. </w:t>
      </w:r>
    </w:p>
    <w:p w14:paraId="5332ECE3" w14:textId="3A6E4220" w:rsidR="00563A1B" w:rsidRDefault="12BF1449" w:rsidP="1FC769FA">
      <w:pPr>
        <w:spacing w:before="240" w:after="240"/>
      </w:pPr>
      <w:r w:rsidRPr="1FC769FA">
        <w:rPr>
          <w:rFonts w:ascii="Arial" w:eastAsia="Arial" w:hAnsi="Arial" w:cs="Arial"/>
          <w:color w:val="000000" w:themeColor="text1"/>
        </w:rPr>
        <w:t xml:space="preserve">Please </w:t>
      </w:r>
      <w:r w:rsidR="245047E7" w:rsidRPr="1FC769FA">
        <w:rPr>
          <w:rFonts w:ascii="Arial" w:eastAsia="Arial" w:hAnsi="Arial" w:cs="Arial"/>
          <w:color w:val="000000" w:themeColor="text1"/>
        </w:rPr>
        <w:t>note that</w:t>
      </w:r>
      <w:r w:rsidRPr="1FC769FA">
        <w:rPr>
          <w:rFonts w:ascii="Arial" w:eastAsia="Arial" w:hAnsi="Arial" w:cs="Arial"/>
          <w:color w:val="000000" w:themeColor="text1"/>
        </w:rPr>
        <w:t xml:space="preserve"> we are currently preparing accessible formats for this call for presentation, which we will post on our website as soon as possible.</w:t>
      </w:r>
    </w:p>
    <w:p w14:paraId="140CDA94" w14:textId="1B828A13" w:rsidR="00563A1B" w:rsidRDefault="12BF1449" w:rsidP="1FC769FA">
      <w:pPr>
        <w:spacing w:before="240" w:after="240"/>
      </w:pPr>
      <w:r w:rsidRPr="1FC769FA">
        <w:rPr>
          <w:rFonts w:ascii="Arial" w:eastAsia="Arial" w:hAnsi="Arial" w:cs="Arial"/>
          <w:color w:val="000000" w:themeColor="text1"/>
        </w:rPr>
        <w:t xml:space="preserve">In developing the overall program, the selection panel will seek a balance of topics, perspectives, </w:t>
      </w:r>
      <w:r w:rsidR="750F4F9E" w:rsidRPr="1FC769FA">
        <w:rPr>
          <w:rFonts w:ascii="Arial" w:eastAsia="Arial" w:hAnsi="Arial" w:cs="Arial"/>
          <w:color w:val="000000" w:themeColor="text1"/>
        </w:rPr>
        <w:t>formats,</w:t>
      </w:r>
      <w:r w:rsidRPr="1FC769FA">
        <w:rPr>
          <w:rFonts w:ascii="Arial" w:eastAsia="Arial" w:hAnsi="Arial" w:cs="Arial"/>
          <w:color w:val="000000" w:themeColor="text1"/>
        </w:rPr>
        <w:t xml:space="preserve"> and audiences. This will include work concerning physical, sensory, intellectual, </w:t>
      </w:r>
      <w:r w:rsidR="6D8FB938" w:rsidRPr="1FC769FA">
        <w:rPr>
          <w:rFonts w:ascii="Arial" w:eastAsia="Arial" w:hAnsi="Arial" w:cs="Arial"/>
          <w:color w:val="000000" w:themeColor="text1"/>
        </w:rPr>
        <w:t>cognitive</w:t>
      </w:r>
      <w:r w:rsidR="7DAF131C" w:rsidRPr="1FC769FA">
        <w:rPr>
          <w:rFonts w:ascii="Arial" w:eastAsia="Arial" w:hAnsi="Arial" w:cs="Arial"/>
          <w:color w:val="000000" w:themeColor="text1"/>
        </w:rPr>
        <w:t>,</w:t>
      </w:r>
      <w:r w:rsidRPr="1FC769FA">
        <w:rPr>
          <w:rFonts w:ascii="Arial" w:eastAsia="Arial" w:hAnsi="Arial" w:cs="Arial"/>
          <w:color w:val="000000" w:themeColor="text1"/>
        </w:rPr>
        <w:t xml:space="preserve"> and psychosocial disability. Priority will be given to presenters with </w:t>
      </w:r>
      <w:proofErr w:type="gramStart"/>
      <w:r w:rsidRPr="1FC769FA">
        <w:rPr>
          <w:rFonts w:ascii="Arial" w:eastAsia="Arial" w:hAnsi="Arial" w:cs="Arial"/>
          <w:color w:val="000000" w:themeColor="text1"/>
        </w:rPr>
        <w:t>disability</w:t>
      </w:r>
      <w:proofErr w:type="gramEnd"/>
      <w:r w:rsidRPr="1FC769FA">
        <w:rPr>
          <w:rFonts w:ascii="Arial" w:eastAsia="Arial" w:hAnsi="Arial" w:cs="Arial"/>
          <w:color w:val="000000" w:themeColor="text1"/>
        </w:rPr>
        <w:t xml:space="preserve">, Higher Degree Research candidates, early career </w:t>
      </w:r>
      <w:r w:rsidRPr="1FC769FA">
        <w:rPr>
          <w:rFonts w:ascii="Arial" w:eastAsia="Arial" w:hAnsi="Arial" w:cs="Arial"/>
          <w:color w:val="000000" w:themeColor="text1"/>
        </w:rPr>
        <w:lastRenderedPageBreak/>
        <w:t>researchers, activists, advocates and practitioners whose perspectives may otherwise be underrepresented in academic conference programs and proposals involving meaningful community engagement.</w:t>
      </w:r>
    </w:p>
    <w:p w14:paraId="7CD06D02" w14:textId="505715D7" w:rsidR="00563A1B" w:rsidRDefault="12BF1449" w:rsidP="1FC769FA">
      <w:pPr>
        <w:spacing w:before="240" w:after="240"/>
      </w:pPr>
      <w:r w:rsidRPr="1FC769FA">
        <w:rPr>
          <w:rFonts w:ascii="Arial" w:eastAsia="Arial" w:hAnsi="Arial" w:cs="Arial"/>
          <w:color w:val="000000" w:themeColor="text1"/>
        </w:rPr>
        <w:t>The Conference is organised by Piers Gooding &amp; Chris Maylea (La Trobe University), Linda Steele (University of Technology Sydney) and Anna Arstein-Kerslake (The University of Melbourne), with the Higher Degree by Research and early career event coordinated by Puneet Sansanwal, Tom Bailo, and Jessica Rodriguez Garcia.</w:t>
      </w:r>
    </w:p>
    <w:p w14:paraId="70D05C41" w14:textId="412C07AC" w:rsidR="00563A1B" w:rsidRDefault="12BF1449" w:rsidP="1FC769FA">
      <w:pPr>
        <w:spacing w:before="240" w:after="240"/>
      </w:pPr>
      <w:r w:rsidRPr="1FC769FA">
        <w:rPr>
          <w:rFonts w:ascii="Arial" w:eastAsia="Arial" w:hAnsi="Arial" w:cs="Arial"/>
          <w:color w:val="000000" w:themeColor="text1"/>
        </w:rPr>
        <w:t xml:space="preserve">The </w:t>
      </w:r>
      <w:r w:rsidRPr="1FC769FA">
        <w:rPr>
          <w:rFonts w:ascii="Arial" w:eastAsia="Arial" w:hAnsi="Arial" w:cs="Arial"/>
          <w:b/>
          <w:bCs/>
          <w:color w:val="000000" w:themeColor="text1"/>
        </w:rPr>
        <w:t>Disability, Law and Society Network of Australia &amp; Aotearoa New Zealand</w:t>
      </w:r>
      <w:r w:rsidRPr="1FC769FA">
        <w:rPr>
          <w:rFonts w:ascii="Arial" w:eastAsia="Arial" w:hAnsi="Arial" w:cs="Arial"/>
          <w:color w:val="000000" w:themeColor="text1"/>
        </w:rPr>
        <w:t xml:space="preserve"> is a network of scholars, including Higher Degree Research students, and advocates primarily based in Australia and Aotearoa New Zealand. The Network was first convened by Donna McNamara and Linda Steele in 2020 and has evolved into a broad and diverse network of individuals who wish to bring critical attention to law concerning disability.</w:t>
      </w:r>
    </w:p>
    <w:p w14:paraId="08B97AD9" w14:textId="20DB25FE" w:rsidR="00563A1B" w:rsidRDefault="12BF1449" w:rsidP="1FC769FA">
      <w:pPr>
        <w:spacing w:before="240" w:after="240"/>
      </w:pPr>
      <w:r w:rsidRPr="1FC769FA">
        <w:rPr>
          <w:rFonts w:ascii="Arial" w:eastAsia="Arial" w:hAnsi="Arial" w:cs="Arial"/>
          <w:color w:val="000000" w:themeColor="text1"/>
        </w:rPr>
        <w:t xml:space="preserve">This year’s Conference is hosted by the </w:t>
      </w:r>
      <w:r w:rsidRPr="1FC769FA">
        <w:rPr>
          <w:rFonts w:ascii="Arial" w:eastAsia="Arial" w:hAnsi="Arial" w:cs="Arial"/>
          <w:b/>
          <w:bCs/>
          <w:color w:val="000000" w:themeColor="text1"/>
        </w:rPr>
        <w:t>La Trobe Mental Health and Disability Law Research Centre</w:t>
      </w:r>
      <w:r w:rsidRPr="1FC769FA">
        <w:rPr>
          <w:rFonts w:ascii="Arial" w:eastAsia="Arial" w:hAnsi="Arial" w:cs="Arial"/>
          <w:color w:val="000000" w:themeColor="text1"/>
        </w:rPr>
        <w:t xml:space="preserve">. The Centre brings together researchers, people with lived experience, practitioners and partner organisations to advance research, reform and practice in disability and mental health law. Its work is grounded in human rights and social justice, with a commitment </w:t>
      </w:r>
      <w:proofErr w:type="gramStart"/>
      <w:r w:rsidRPr="1FC769FA">
        <w:rPr>
          <w:rFonts w:ascii="Arial" w:eastAsia="Arial" w:hAnsi="Arial" w:cs="Arial"/>
          <w:color w:val="000000" w:themeColor="text1"/>
        </w:rPr>
        <w:t>to lived</w:t>
      </w:r>
      <w:proofErr w:type="gramEnd"/>
      <w:r w:rsidRPr="1FC769FA">
        <w:rPr>
          <w:rFonts w:ascii="Arial" w:eastAsia="Arial" w:hAnsi="Arial" w:cs="Arial"/>
          <w:color w:val="000000" w:themeColor="text1"/>
        </w:rPr>
        <w:t xml:space="preserve"> experience leadership, meaningful partnership and critical independence. </w:t>
      </w:r>
    </w:p>
    <w:p w14:paraId="4E1813DE" w14:textId="1D718874" w:rsidR="00563A1B" w:rsidRDefault="12BF1449" w:rsidP="1FC769FA">
      <w:pPr>
        <w:spacing w:before="240" w:after="240"/>
      </w:pPr>
      <w:r w:rsidRPr="1FC769FA">
        <w:rPr>
          <w:rFonts w:ascii="Arial" w:eastAsia="Arial" w:hAnsi="Arial" w:cs="Arial"/>
          <w:color w:val="000000" w:themeColor="text1"/>
        </w:rPr>
        <w:t>Please email Piers Gooding (</w:t>
      </w:r>
      <w:hyperlink r:id="rId7">
        <w:r w:rsidRPr="1FC769FA">
          <w:rPr>
            <w:rStyle w:val="Hyperlink"/>
          </w:rPr>
          <w:t>P.Gooding@latrobe.edu.au</w:t>
        </w:r>
      </w:hyperlink>
      <w:r w:rsidRPr="1FC769FA">
        <w:rPr>
          <w:rFonts w:ascii="Arial" w:eastAsia="Arial" w:hAnsi="Arial" w:cs="Arial"/>
          <w:color w:val="000000" w:themeColor="text1"/>
        </w:rPr>
        <w:t>) with any questions about the Conference or if you would like to join the Network.</w:t>
      </w:r>
    </w:p>
    <w:p w14:paraId="5E262F4B" w14:textId="7CDB5385" w:rsidR="00563A1B" w:rsidRDefault="12BF1449" w:rsidP="1FC769FA">
      <w:pPr>
        <w:spacing w:before="240" w:after="240"/>
        <w:rPr>
          <w:rFonts w:ascii="Arial" w:eastAsia="Arial" w:hAnsi="Arial" w:cs="Arial"/>
          <w:color w:val="000000" w:themeColor="text1"/>
        </w:rPr>
      </w:pPr>
      <w:r w:rsidRPr="1FC769FA">
        <w:rPr>
          <w:rFonts w:ascii="Arial" w:eastAsia="Arial" w:hAnsi="Arial" w:cs="Arial"/>
          <w:color w:val="000000" w:themeColor="text1"/>
        </w:rPr>
        <w:t xml:space="preserve">   </w:t>
      </w:r>
      <w:r>
        <w:rPr>
          <w:noProof/>
        </w:rPr>
        <w:drawing>
          <wp:inline distT="0" distB="0" distL="0" distR="0" wp14:anchorId="46FDF3DD" wp14:editId="3AFA1679">
            <wp:extent cx="1781175" cy="1181100"/>
            <wp:effectExtent l="0" t="0" r="0" b="0"/>
            <wp:docPr id="496369519" name="drawing" descr="La Trobe University Logo - Hawk carrying scroll over text 'La Trob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369519" name="Picture 496369519"/>
                    <pic:cNvPicPr/>
                  </pic:nvPicPr>
                  <pic:blipFill>
                    <a:blip r:embed="rId8">
                      <a:extLst>
                        <a:ext uri="{28A0092B-C50C-407E-A947-70E740481C1C}">
                          <a14:useLocalDpi xmlns:a14="http://schemas.microsoft.com/office/drawing/2010/main"/>
                        </a:ext>
                      </a:extLst>
                    </a:blip>
                    <a:stretch>
                      <a:fillRect/>
                    </a:stretch>
                  </pic:blipFill>
                  <pic:spPr>
                    <a:xfrm>
                      <a:off x="0" y="0"/>
                      <a:ext cx="1781175" cy="1181100"/>
                    </a:xfrm>
                    <a:prstGeom prst="rect">
                      <a:avLst/>
                    </a:prstGeom>
                  </pic:spPr>
                </pic:pic>
              </a:graphicData>
            </a:graphic>
          </wp:inline>
        </w:drawing>
      </w:r>
      <w:r>
        <w:rPr>
          <w:noProof/>
        </w:rPr>
        <w:drawing>
          <wp:inline distT="0" distB="0" distL="0" distR="0" wp14:anchorId="19F9D08E" wp14:editId="6FEBFF67">
            <wp:extent cx="1133475" cy="1133475"/>
            <wp:effectExtent l="0" t="0" r="0" b="0"/>
            <wp:docPr id="1886270226" name="drawing" descr="University of Melbourne Logo (angel by south cross stars, over text 'University of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270226" name="Picture 1886270226"/>
                    <pic:cNvPicPr/>
                  </pic:nvPicPr>
                  <pic:blipFill>
                    <a:blip r:embed="rId9">
                      <a:extLst>
                        <a:ext uri="{28A0092B-C50C-407E-A947-70E740481C1C}">
                          <a14:useLocalDpi xmlns:a14="http://schemas.microsoft.com/office/drawing/2010/main"/>
                        </a:ext>
                      </a:extLst>
                    </a:blip>
                    <a:stretch>
                      <a:fillRect/>
                    </a:stretch>
                  </pic:blipFill>
                  <pic:spPr>
                    <a:xfrm>
                      <a:off x="0" y="0"/>
                      <a:ext cx="1133475" cy="1133475"/>
                    </a:xfrm>
                    <a:prstGeom prst="rect">
                      <a:avLst/>
                    </a:prstGeom>
                  </pic:spPr>
                </pic:pic>
              </a:graphicData>
            </a:graphic>
          </wp:inline>
        </w:drawing>
      </w:r>
      <w:r>
        <w:rPr>
          <w:noProof/>
        </w:rPr>
        <w:drawing>
          <wp:inline distT="0" distB="0" distL="0" distR="0" wp14:anchorId="5E526B1E" wp14:editId="245F72EC">
            <wp:extent cx="2476500" cy="962025"/>
            <wp:effectExtent l="0" t="0" r="0" b="0"/>
            <wp:docPr id="1797243997" name="drawing" descr="U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243997" name="Picture 1797243997"/>
                    <pic:cNvPicPr/>
                  </pic:nvPicPr>
                  <pic:blipFill>
                    <a:blip r:embed="rId10">
                      <a:extLst>
                        <a:ext uri="{28A0092B-C50C-407E-A947-70E740481C1C}">
                          <a14:useLocalDpi xmlns:a14="http://schemas.microsoft.com/office/drawing/2010/main"/>
                        </a:ext>
                      </a:extLst>
                    </a:blip>
                    <a:stretch>
                      <a:fillRect/>
                    </a:stretch>
                  </pic:blipFill>
                  <pic:spPr>
                    <a:xfrm>
                      <a:off x="0" y="0"/>
                      <a:ext cx="2476500" cy="962025"/>
                    </a:xfrm>
                    <a:prstGeom prst="rect">
                      <a:avLst/>
                    </a:prstGeom>
                  </pic:spPr>
                </pic:pic>
              </a:graphicData>
            </a:graphic>
          </wp:inline>
        </w:drawing>
      </w:r>
    </w:p>
    <w:p w14:paraId="0DA353D3" w14:textId="534FE09D" w:rsidR="00563A1B" w:rsidRDefault="00563A1B"/>
    <w:p w14:paraId="2C078E63" w14:textId="53509985" w:rsidR="00563A1B" w:rsidRDefault="00563A1B"/>
    <w:sectPr w:rsidR="00563A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hN6B5b8f/AaH/i" int2:id="c9ku0ZPY">
      <int2:state int2:value="Rejected" int2:type="spell"/>
    </int2:textHash>
    <int2:textHash int2:hashCode="874Lc9bN3o7Lak" int2:id="RM4Ivd9X">
      <int2:state int2:value="Rejected" int2:type="spell"/>
    </int2:textHash>
    <int2:textHash int2:hashCode="Dji+abMBs/wxDx" int2:id="ugTFRyFO">
      <int2:state int2:value="Rejected" int2:type="spell"/>
    </int2:textHash>
    <int2:textHash int2:hashCode="kByidkXaRxGvMx" int2:id="gvzkcfpq">
      <int2:state int2:value="Rejected" int2:type="spell"/>
    </int2:textHash>
    <int2:textHash int2:hashCode="8AWjIv8oeP0SU5" int2:id="rTWNuJE1">
      <int2:state int2:value="Rejected" int2:type="spell"/>
    </int2:textHash>
    <int2:textHash int2:hashCode="P1t9DnuMzsiEcY" int2:id="ENr1E0iB">
      <int2:state int2:value="Rejected" int2:type="spell"/>
    </int2:textHash>
    <int2:textHash int2:hashCode="8QXVaUBjt4AXOW" int2:id="wIGGvncd">
      <int2:state int2:value="Rejected" int2:type="spell"/>
    </int2:textHash>
    <int2:bookmark int2:bookmarkName="_Int_UKAXi4OP" int2:invalidationBookmarkName="" int2:hashCode="4qxILRKIzsTE+F" int2:id="Kd66ZBgb">
      <int2:state int2:value="Rejected" int2:type="gram"/>
    </int2:bookmark>
    <int2:bookmark int2:bookmarkName="_Int_tYbK2kC6" int2:invalidationBookmarkName="" int2:hashCode="CvKHRr8t+RaFKl" int2:id="6eFxfUAl">
      <int2:state int2:value="Rejected" int2:type="gram"/>
    </int2:bookmark>
    <int2:bookmark int2:bookmarkName="_Int_0cGs1Oqb" int2:invalidationBookmarkName="" int2:hashCode="CvKHRr8t+RaFKl" int2:id="vTo1F3JN">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DCDFF"/>
    <w:multiLevelType w:val="hybridMultilevel"/>
    <w:tmpl w:val="4E34B9AA"/>
    <w:lvl w:ilvl="0" w:tplc="4FAAA714">
      <w:start w:val="1"/>
      <w:numFmt w:val="bullet"/>
      <w:lvlText w:val=""/>
      <w:lvlJc w:val="left"/>
      <w:pPr>
        <w:ind w:left="720" w:hanging="360"/>
      </w:pPr>
      <w:rPr>
        <w:rFonts w:ascii="Symbol" w:hAnsi="Symbol" w:hint="default"/>
      </w:rPr>
    </w:lvl>
    <w:lvl w:ilvl="1" w:tplc="5CBC2876">
      <w:start w:val="1"/>
      <w:numFmt w:val="bullet"/>
      <w:lvlText w:val="o"/>
      <w:lvlJc w:val="left"/>
      <w:pPr>
        <w:ind w:left="1440" w:hanging="360"/>
      </w:pPr>
      <w:rPr>
        <w:rFonts w:ascii="Courier New" w:hAnsi="Courier New" w:hint="default"/>
      </w:rPr>
    </w:lvl>
    <w:lvl w:ilvl="2" w:tplc="AD96F3DA">
      <w:start w:val="1"/>
      <w:numFmt w:val="bullet"/>
      <w:lvlText w:val=""/>
      <w:lvlJc w:val="left"/>
      <w:pPr>
        <w:ind w:left="2160" w:hanging="360"/>
      </w:pPr>
      <w:rPr>
        <w:rFonts w:ascii="Wingdings" w:hAnsi="Wingdings" w:hint="default"/>
      </w:rPr>
    </w:lvl>
    <w:lvl w:ilvl="3" w:tplc="A6208ACA">
      <w:start w:val="1"/>
      <w:numFmt w:val="bullet"/>
      <w:lvlText w:val=""/>
      <w:lvlJc w:val="left"/>
      <w:pPr>
        <w:ind w:left="2880" w:hanging="360"/>
      </w:pPr>
      <w:rPr>
        <w:rFonts w:ascii="Symbol" w:hAnsi="Symbol" w:hint="default"/>
      </w:rPr>
    </w:lvl>
    <w:lvl w:ilvl="4" w:tplc="FF90FDC6">
      <w:start w:val="1"/>
      <w:numFmt w:val="bullet"/>
      <w:lvlText w:val="o"/>
      <w:lvlJc w:val="left"/>
      <w:pPr>
        <w:ind w:left="3600" w:hanging="360"/>
      </w:pPr>
      <w:rPr>
        <w:rFonts w:ascii="Courier New" w:hAnsi="Courier New" w:hint="default"/>
      </w:rPr>
    </w:lvl>
    <w:lvl w:ilvl="5" w:tplc="5894BACC">
      <w:start w:val="1"/>
      <w:numFmt w:val="bullet"/>
      <w:lvlText w:val=""/>
      <w:lvlJc w:val="left"/>
      <w:pPr>
        <w:ind w:left="4320" w:hanging="360"/>
      </w:pPr>
      <w:rPr>
        <w:rFonts w:ascii="Wingdings" w:hAnsi="Wingdings" w:hint="default"/>
      </w:rPr>
    </w:lvl>
    <w:lvl w:ilvl="6" w:tplc="B2026BA2">
      <w:start w:val="1"/>
      <w:numFmt w:val="bullet"/>
      <w:lvlText w:val=""/>
      <w:lvlJc w:val="left"/>
      <w:pPr>
        <w:ind w:left="5040" w:hanging="360"/>
      </w:pPr>
      <w:rPr>
        <w:rFonts w:ascii="Symbol" w:hAnsi="Symbol" w:hint="default"/>
      </w:rPr>
    </w:lvl>
    <w:lvl w:ilvl="7" w:tplc="9C5C15FA">
      <w:start w:val="1"/>
      <w:numFmt w:val="bullet"/>
      <w:lvlText w:val="o"/>
      <w:lvlJc w:val="left"/>
      <w:pPr>
        <w:ind w:left="5760" w:hanging="360"/>
      </w:pPr>
      <w:rPr>
        <w:rFonts w:ascii="Courier New" w:hAnsi="Courier New" w:hint="default"/>
      </w:rPr>
    </w:lvl>
    <w:lvl w:ilvl="8" w:tplc="60286472">
      <w:start w:val="1"/>
      <w:numFmt w:val="bullet"/>
      <w:lvlText w:val=""/>
      <w:lvlJc w:val="left"/>
      <w:pPr>
        <w:ind w:left="6480" w:hanging="360"/>
      </w:pPr>
      <w:rPr>
        <w:rFonts w:ascii="Wingdings" w:hAnsi="Wingdings" w:hint="default"/>
      </w:rPr>
    </w:lvl>
  </w:abstractNum>
  <w:num w:numId="1" w16cid:durableId="317000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90E02F"/>
    <w:rsid w:val="000A5B54"/>
    <w:rsid w:val="000F7A4E"/>
    <w:rsid w:val="00425289"/>
    <w:rsid w:val="004E4D06"/>
    <w:rsid w:val="005116C9"/>
    <w:rsid w:val="00563A1B"/>
    <w:rsid w:val="007B66DC"/>
    <w:rsid w:val="00E71625"/>
    <w:rsid w:val="0BFB37EE"/>
    <w:rsid w:val="0F178339"/>
    <w:rsid w:val="12A56638"/>
    <w:rsid w:val="12BF1449"/>
    <w:rsid w:val="1868F43C"/>
    <w:rsid w:val="1BE730BA"/>
    <w:rsid w:val="1E90E02F"/>
    <w:rsid w:val="1FC769FA"/>
    <w:rsid w:val="22DE28B5"/>
    <w:rsid w:val="245047E7"/>
    <w:rsid w:val="26E4D446"/>
    <w:rsid w:val="28D68224"/>
    <w:rsid w:val="2921480F"/>
    <w:rsid w:val="305053C7"/>
    <w:rsid w:val="3896B63B"/>
    <w:rsid w:val="3CC286A8"/>
    <w:rsid w:val="463C0094"/>
    <w:rsid w:val="4A4C7A89"/>
    <w:rsid w:val="4BDD7193"/>
    <w:rsid w:val="4D30FB72"/>
    <w:rsid w:val="587A32F2"/>
    <w:rsid w:val="5D9048C6"/>
    <w:rsid w:val="5E91374F"/>
    <w:rsid w:val="60B6BBCF"/>
    <w:rsid w:val="61FEDA90"/>
    <w:rsid w:val="62228D60"/>
    <w:rsid w:val="699C9172"/>
    <w:rsid w:val="6D8FB938"/>
    <w:rsid w:val="70CBA38B"/>
    <w:rsid w:val="71DC103E"/>
    <w:rsid w:val="750F4F9E"/>
    <w:rsid w:val="773215D3"/>
    <w:rsid w:val="78666473"/>
    <w:rsid w:val="7DAF1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76439"/>
  <w15:chartTrackingRefBased/>
  <w15:docId w15:val="{C82B5312-F9F9-495D-BAAA-CC10E159D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FC769FA"/>
    <w:pPr>
      <w:ind w:left="720"/>
      <w:contextualSpacing/>
    </w:pPr>
  </w:style>
  <w:style w:type="character" w:styleId="Hyperlink">
    <w:name w:val="Hyperlink"/>
    <w:basedOn w:val="DefaultParagraphFont"/>
    <w:uiPriority w:val="99"/>
    <w:unhideWhenUsed/>
    <w:rsid w:val="1FC769FA"/>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hyperlink" Target="mailto:P.Gooding@latrobe.edu.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forms.cloud.microsoft/Pages/ResponsePage.aspx?id=2CbumsKXrU-JAJZzX23HP1S_gTn7ILBJoQ7Vti-a_O5UNUdTUVcyU0wzRVY0M0tDM01GMUIwSzYyWi4u"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aee26d8-97c2-4fad-8900-96735f6dc73f}" enabled="0" method="" siteId="{9aee26d8-97c2-4fad-8900-96735f6dc73f}"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999</Words>
  <Characters>6287</Characters>
  <Application>Microsoft Office Word</Application>
  <DocSecurity>0</DocSecurity>
  <Lines>98</Lines>
  <Paragraphs>28</Paragraphs>
  <ScaleCrop>false</ScaleCrop>
  <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David Hanna</dc:creator>
  <cp:keywords/>
  <dc:description/>
  <cp:lastModifiedBy>Piers Gooding</cp:lastModifiedBy>
  <cp:revision>7</cp:revision>
  <dcterms:created xsi:type="dcterms:W3CDTF">2026-08-17T00:13:00Z</dcterms:created>
  <dcterms:modified xsi:type="dcterms:W3CDTF">2026-08-18T05:57:00Z</dcterms:modified>
</cp:coreProperties>
</file>