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xmlns:c="http://schemas.openxmlformats.org/drawingml/2006/chart" mc:Ignorable="w14 w15 w16se w16cid w16 w16cex w16sdtdh w16du wp14">
  <w:body>
    <w:p w:rsidR="009F61F0" w:rsidP="1C5FB4BE" w:rsidRDefault="009F61F0" w14:paraId="1EB08148" w14:textId="2D67612E">
      <w:pPr>
        <w:pStyle w:val="NormalWeb"/>
        <w:spacing w:before="0" w:beforeAutospacing="off" w:after="0" w:afterAutospacing="off"/>
        <w:rPr>
          <w:rFonts w:ascii="Aptos" w:hAnsi="Calibri" w:eastAsia="" w:cs="" w:asciiTheme="minorAscii" w:eastAsiaTheme="minorEastAsia" w:cstheme="minorBidi"/>
          <w:b w:val="1"/>
          <w:bCs w:val="1"/>
          <w:kern w:val="24"/>
          <w:lang w:val="en-US"/>
        </w:rPr>
      </w:pPr>
      <w:r w:rsidRPr="1C5FB4BE" w:rsidR="009F61F0">
        <w:rPr>
          <w:rFonts w:ascii="Aptos" w:hAnsi="Calibri" w:eastAsia="" w:cs="" w:asciiTheme="minorAscii" w:eastAsiaTheme="minorEastAsia" w:cstheme="minorBidi"/>
          <w:b w:val="1"/>
          <w:bCs w:val="1"/>
          <w:lang w:val="en-US"/>
        </w:rPr>
        <w:t xml:space="preserve"> </w:t>
      </w:r>
      <w:r>
        <w:tab/>
      </w:r>
      <w:r>
        <w:tab/>
      </w:r>
      <w:r>
        <w:tab/>
      </w:r>
      <w:r>
        <w:tab/>
      </w:r>
      <w:r>
        <w:tab/>
      </w:r>
      <w:r>
        <w:tab/>
      </w:r>
      <w:r w:rsidRPr="1C5FB4BE" w:rsidR="009F61F0">
        <w:rPr>
          <w:rFonts w:ascii="Aptos" w:hAnsi="Calibri" w:eastAsia="" w:cs="" w:asciiTheme="minorAscii" w:eastAsiaTheme="minorEastAsia" w:cstheme="minorBidi"/>
          <w:b w:val="1"/>
          <w:bCs w:val="1"/>
          <w:lang w:val="en-US"/>
        </w:rPr>
        <w:t xml:space="preserve">  </w:t>
      </w:r>
    </w:p>
    <w:p w:rsidR="009F61F0" w:rsidP="6D608A88" w:rsidRDefault="009F61F0" w14:paraId="5CCF40A1" w14:textId="52BFAF2F">
      <w:pPr>
        <w:pStyle w:val="Heading1"/>
        <w:jc w:val="center"/>
        <w:rPr>
          <w:rFonts w:ascii="Aptos" w:hAnsi="Calibri" w:eastAsia="" w:cs="" w:asciiTheme="minorAscii" w:eastAsiaTheme="minorEastAsia" w:cstheme="minorBidi"/>
          <w:b w:val="1"/>
          <w:bCs w:val="1"/>
          <w:sz w:val="36"/>
          <w:szCs w:val="36"/>
          <w:lang w:val="en-US"/>
        </w:rPr>
      </w:pPr>
      <w:r w:rsidRPr="6D608A88" w:rsidR="718D2E55">
        <w:rPr>
          <w:sz w:val="36"/>
          <w:szCs w:val="36"/>
          <w:lang w:val="en-US"/>
        </w:rPr>
        <w:t>Referral Patterns and Health Outcomes Associated with Physiotherapy on a Regional Australian Medical Ward</w:t>
      </w:r>
    </w:p>
    <w:p w:rsidRPr="009F61F0" w:rsidR="009F61F0" w:rsidP="009F61F0" w:rsidRDefault="009F61F0" w14:paraId="093436B7" w14:textId="77777777">
      <w:pPr>
        <w:pStyle w:val="NormalWeb"/>
        <w:spacing w:before="0" w:beforeAutospacing="0" w:after="0" w:afterAutospacing="0"/>
        <w:jc w:val="center"/>
      </w:pPr>
    </w:p>
    <w:p w:rsidRPr="009F61F0" w:rsidR="009F61F0" w:rsidP="009F61F0" w:rsidRDefault="009F61F0" w14:paraId="781F44A0" w14:textId="77777777">
      <w:pPr>
        <w:pStyle w:val="NormalWeb"/>
        <w:spacing w:before="0" w:beforeAutospacing="0" w:after="0" w:afterAutospacing="0"/>
        <w:jc w:val="center"/>
        <w:rPr>
          <w:sz w:val="20"/>
          <w:szCs w:val="20"/>
        </w:rPr>
      </w:pPr>
      <w:r w:rsidRPr="009F61F0">
        <w:rPr>
          <w:rFonts w:hAnsi="Calibri" w:asciiTheme="minorHAnsi" w:eastAsiaTheme="minorEastAsia" w:cstheme="minorBidi"/>
          <w:kern w:val="24"/>
          <w:sz w:val="20"/>
          <w:szCs w:val="20"/>
          <w:lang w:val="en-US"/>
        </w:rPr>
        <w:t>Jane McCaig, MPH</w:t>
      </w:r>
      <w:r w:rsidRPr="009F61F0">
        <w:rPr>
          <w:rFonts w:hAnsi="Calibri" w:asciiTheme="minorHAnsi" w:eastAsiaTheme="minorEastAsia" w:cstheme="minorBidi"/>
          <w:kern w:val="24"/>
          <w:position w:val="19"/>
          <w:sz w:val="20"/>
          <w:szCs w:val="20"/>
          <w:vertAlign w:val="superscript"/>
          <w:lang w:val="en-US"/>
        </w:rPr>
        <w:t>1,2</w:t>
      </w:r>
      <w:r w:rsidRPr="009F61F0">
        <w:rPr>
          <w:rFonts w:hAnsi="Calibri" w:asciiTheme="minorHAnsi" w:eastAsiaTheme="minorEastAsia" w:cstheme="minorBidi"/>
          <w:kern w:val="24"/>
          <w:sz w:val="20"/>
          <w:szCs w:val="20"/>
          <w:lang w:val="en-US"/>
        </w:rPr>
        <w:t>; Carolyn Taylor, PhD</w:t>
      </w:r>
      <w:r w:rsidRPr="009F61F0">
        <w:rPr>
          <w:rFonts w:hAnsi="Calibri" w:asciiTheme="minorHAnsi" w:eastAsiaTheme="minorEastAsia" w:cstheme="minorBidi"/>
          <w:kern w:val="24"/>
          <w:position w:val="19"/>
          <w:sz w:val="20"/>
          <w:szCs w:val="20"/>
          <w:vertAlign w:val="superscript"/>
          <w:lang w:val="en-US"/>
        </w:rPr>
        <w:t>1</w:t>
      </w:r>
      <w:r w:rsidRPr="009F61F0">
        <w:rPr>
          <w:rFonts w:hAnsi="Calibri" w:asciiTheme="minorHAnsi" w:eastAsiaTheme="minorEastAsia" w:cstheme="minorBidi"/>
          <w:kern w:val="24"/>
          <w:sz w:val="20"/>
          <w:szCs w:val="20"/>
          <w:lang w:val="en-US"/>
        </w:rPr>
        <w:t xml:space="preserve">; George </w:t>
      </w:r>
      <w:proofErr w:type="spellStart"/>
      <w:r w:rsidRPr="009F61F0">
        <w:rPr>
          <w:rFonts w:hAnsi="Calibri" w:asciiTheme="minorHAnsi" w:eastAsiaTheme="minorEastAsia" w:cstheme="minorBidi"/>
          <w:kern w:val="24"/>
          <w:sz w:val="20"/>
          <w:szCs w:val="20"/>
          <w:lang w:val="en-US"/>
        </w:rPr>
        <w:t>Mnatzanian</w:t>
      </w:r>
      <w:proofErr w:type="spellEnd"/>
      <w:r w:rsidRPr="009F61F0">
        <w:rPr>
          <w:rFonts w:hAnsi="Calibri" w:asciiTheme="minorHAnsi" w:eastAsiaTheme="minorEastAsia" w:cstheme="minorBidi"/>
          <w:kern w:val="24"/>
          <w:sz w:val="20"/>
          <w:szCs w:val="20"/>
          <w:lang w:val="en-US"/>
        </w:rPr>
        <w:t>, PhD</w:t>
      </w:r>
      <w:r w:rsidRPr="009F61F0">
        <w:rPr>
          <w:rFonts w:hAnsi="Calibri" w:asciiTheme="minorHAnsi" w:eastAsiaTheme="minorEastAsia" w:cstheme="minorBidi"/>
          <w:kern w:val="24"/>
          <w:position w:val="19"/>
          <w:sz w:val="20"/>
          <w:szCs w:val="20"/>
          <w:vertAlign w:val="superscript"/>
          <w:lang w:val="en-US"/>
        </w:rPr>
        <w:t xml:space="preserve">1; </w:t>
      </w:r>
      <w:r w:rsidRPr="009F61F0">
        <w:rPr>
          <w:rFonts w:hAnsi="Calibri" w:asciiTheme="minorHAnsi" w:eastAsiaTheme="minorEastAsia" w:cstheme="minorBidi"/>
          <w:kern w:val="24"/>
          <w:sz w:val="20"/>
          <w:szCs w:val="20"/>
          <w:lang w:val="en-US"/>
        </w:rPr>
        <w:t>Jack Lawrence</w:t>
      </w:r>
      <w:r w:rsidRPr="009F61F0">
        <w:rPr>
          <w:rFonts w:hAnsi="Calibri" w:asciiTheme="minorHAnsi" w:eastAsiaTheme="minorEastAsia" w:cstheme="minorBidi"/>
          <w:kern w:val="24"/>
          <w:position w:val="19"/>
          <w:sz w:val="20"/>
          <w:szCs w:val="20"/>
          <w:vertAlign w:val="superscript"/>
          <w:lang w:val="en-US"/>
        </w:rPr>
        <w:t>3</w:t>
      </w:r>
      <w:r w:rsidRPr="009F61F0">
        <w:rPr>
          <w:rFonts w:hAnsi="Calibri" w:asciiTheme="minorHAnsi" w:eastAsiaTheme="minorEastAsia" w:cstheme="minorBidi"/>
          <w:kern w:val="24"/>
          <w:sz w:val="20"/>
          <w:szCs w:val="20"/>
          <w:lang w:val="en-US"/>
        </w:rPr>
        <w:t>; Josh Nitschke</w:t>
      </w:r>
      <w:r w:rsidRPr="009F61F0">
        <w:rPr>
          <w:rFonts w:hAnsi="Calibri" w:asciiTheme="minorHAnsi" w:eastAsiaTheme="minorEastAsia" w:cstheme="minorBidi"/>
          <w:kern w:val="24"/>
          <w:position w:val="19"/>
          <w:sz w:val="20"/>
          <w:szCs w:val="20"/>
          <w:vertAlign w:val="superscript"/>
          <w:lang w:val="en-US"/>
        </w:rPr>
        <w:t>3</w:t>
      </w:r>
      <w:r w:rsidRPr="009F61F0">
        <w:rPr>
          <w:rFonts w:hAnsi="Calibri" w:asciiTheme="minorHAnsi" w:eastAsiaTheme="minorEastAsia" w:cstheme="minorBidi"/>
          <w:kern w:val="24"/>
          <w:sz w:val="20"/>
          <w:szCs w:val="20"/>
          <w:lang w:val="en-US"/>
        </w:rPr>
        <w:t>; Brett Gordon, PhD</w:t>
      </w:r>
      <w:r w:rsidRPr="009F61F0">
        <w:rPr>
          <w:rFonts w:hAnsi="Calibri" w:asciiTheme="minorHAnsi" w:eastAsiaTheme="minorEastAsia" w:cstheme="minorBidi"/>
          <w:kern w:val="24"/>
          <w:position w:val="19"/>
          <w:sz w:val="20"/>
          <w:szCs w:val="20"/>
          <w:vertAlign w:val="superscript"/>
          <w:lang w:val="en-US"/>
        </w:rPr>
        <w:t>1,</w:t>
      </w:r>
      <w:proofErr w:type="gramStart"/>
      <w:r w:rsidRPr="009F61F0">
        <w:rPr>
          <w:rFonts w:hAnsi="Calibri" w:asciiTheme="minorHAnsi" w:eastAsiaTheme="minorEastAsia" w:cstheme="minorBidi"/>
          <w:kern w:val="24"/>
          <w:position w:val="19"/>
          <w:sz w:val="20"/>
          <w:szCs w:val="20"/>
          <w:vertAlign w:val="superscript"/>
          <w:lang w:val="en-US"/>
        </w:rPr>
        <w:t>2</w:t>
      </w:r>
      <w:r w:rsidRPr="009F61F0">
        <w:rPr>
          <w:rFonts w:hAnsi="Calibri" w:asciiTheme="minorHAnsi" w:eastAsiaTheme="minorEastAsia" w:cstheme="minorBidi"/>
          <w:kern w:val="24"/>
          <w:sz w:val="20"/>
          <w:szCs w:val="20"/>
          <w:lang w:val="en-US"/>
        </w:rPr>
        <w:t>;</w:t>
      </w:r>
      <w:proofErr w:type="gramEnd"/>
      <w:r w:rsidRPr="009F61F0">
        <w:rPr>
          <w:rFonts w:hAnsi="Calibri" w:asciiTheme="minorHAnsi" w:eastAsiaTheme="minorEastAsia" w:cstheme="minorBidi"/>
          <w:kern w:val="24"/>
          <w:sz w:val="20"/>
          <w:szCs w:val="20"/>
          <w:lang w:val="en-US"/>
        </w:rPr>
        <w:t xml:space="preserve"> </w:t>
      </w:r>
    </w:p>
    <w:p w:rsidRPr="009F61F0" w:rsidR="009F61F0" w:rsidP="009F61F0" w:rsidRDefault="009F61F0" w14:paraId="62989EAA" w14:textId="77777777">
      <w:pPr>
        <w:pStyle w:val="NormalWeb"/>
        <w:spacing w:before="0" w:beforeAutospacing="0" w:after="0" w:afterAutospacing="0"/>
        <w:jc w:val="center"/>
        <w:rPr>
          <w:sz w:val="20"/>
          <w:szCs w:val="20"/>
        </w:rPr>
      </w:pPr>
      <w:r w:rsidRPr="009F61F0">
        <w:rPr>
          <w:rFonts w:hAnsi="Calibri" w:asciiTheme="minorHAnsi" w:eastAsiaTheme="minorEastAsia" w:cstheme="minorBidi"/>
          <w:kern w:val="24"/>
          <w:position w:val="19"/>
          <w:sz w:val="20"/>
          <w:szCs w:val="20"/>
          <w:vertAlign w:val="superscript"/>
          <w:lang w:val="en-US"/>
        </w:rPr>
        <w:t>1</w:t>
      </w:r>
      <w:r w:rsidRPr="009F61F0">
        <w:rPr>
          <w:rFonts w:hAnsi="Calibri" w:asciiTheme="minorHAnsi" w:eastAsiaTheme="minorEastAsia" w:cstheme="minorBidi"/>
          <w:kern w:val="24"/>
          <w:sz w:val="20"/>
          <w:szCs w:val="20"/>
          <w:lang w:val="en-US"/>
        </w:rPr>
        <w:t>La Trobe Rural Health School, Bendigo, Australia</w:t>
      </w:r>
    </w:p>
    <w:p w:rsidRPr="009F61F0" w:rsidR="009F61F0" w:rsidP="009F61F0" w:rsidRDefault="009F61F0" w14:paraId="140BD95F" w14:textId="77777777">
      <w:pPr>
        <w:pStyle w:val="NormalWeb"/>
        <w:spacing w:before="0" w:beforeAutospacing="0" w:after="0" w:afterAutospacing="0"/>
        <w:jc w:val="center"/>
        <w:rPr>
          <w:sz w:val="20"/>
          <w:szCs w:val="20"/>
        </w:rPr>
      </w:pPr>
      <w:r w:rsidRPr="009F61F0">
        <w:rPr>
          <w:rFonts w:hAnsi="Calibri" w:asciiTheme="minorHAnsi" w:eastAsiaTheme="minorEastAsia" w:cstheme="minorBidi"/>
          <w:kern w:val="24"/>
          <w:position w:val="19"/>
          <w:sz w:val="20"/>
          <w:szCs w:val="20"/>
          <w:vertAlign w:val="superscript"/>
          <w:lang w:val="en-US"/>
        </w:rPr>
        <w:t>2</w:t>
      </w:r>
      <w:r w:rsidRPr="009F61F0">
        <w:rPr>
          <w:rFonts w:hAnsi="Calibri" w:asciiTheme="minorHAnsi" w:eastAsiaTheme="minorEastAsia" w:cstheme="minorBidi"/>
          <w:kern w:val="24"/>
          <w:sz w:val="20"/>
          <w:szCs w:val="20"/>
          <w:lang w:val="en-US"/>
        </w:rPr>
        <w:t>Holsworth Research Centre, La Trobe University, Bendigo Australia</w:t>
      </w:r>
    </w:p>
    <w:p w:rsidRPr="009F61F0" w:rsidR="009F61F0" w:rsidP="009F61F0" w:rsidRDefault="009F61F0" w14:paraId="259EBD6C" w14:textId="77777777">
      <w:pPr>
        <w:pStyle w:val="NormalWeb"/>
        <w:spacing w:before="0" w:beforeAutospacing="0" w:after="0" w:afterAutospacing="0"/>
        <w:jc w:val="center"/>
        <w:rPr>
          <w:sz w:val="20"/>
          <w:szCs w:val="20"/>
        </w:rPr>
      </w:pPr>
      <w:r w:rsidRPr="009F61F0">
        <w:rPr>
          <w:rFonts w:hAnsi="Calibri" w:asciiTheme="minorHAnsi" w:eastAsiaTheme="minorEastAsia" w:cstheme="minorBidi"/>
          <w:kern w:val="24"/>
          <w:position w:val="19"/>
          <w:sz w:val="20"/>
          <w:szCs w:val="20"/>
          <w:vertAlign w:val="superscript"/>
          <w:lang w:val="en-US"/>
        </w:rPr>
        <w:t>3</w:t>
      </w:r>
      <w:r w:rsidRPr="009F61F0">
        <w:rPr>
          <w:rFonts w:hAnsi="Calibri" w:asciiTheme="minorHAnsi" w:eastAsiaTheme="minorEastAsia" w:cstheme="minorBidi"/>
          <w:kern w:val="24"/>
          <w:sz w:val="20"/>
          <w:szCs w:val="20"/>
          <w:lang w:val="en-US"/>
        </w:rPr>
        <w:t>Bendigo Health, Bendigo, Australia</w:t>
      </w:r>
    </w:p>
    <w:p w:rsidR="000057D9" w:rsidP="009F61F0" w:rsidRDefault="000057D9" w14:paraId="5E4C6893" w14:textId="77777777">
      <w:pPr>
        <w:spacing w:line="240" w:lineRule="auto"/>
      </w:pPr>
    </w:p>
    <w:p w:rsidR="009F61F0" w:rsidP="1C5FB4BE" w:rsidRDefault="009F61F0" w14:paraId="6490F8E2" w14:textId="5DA6286E">
      <w:pPr>
        <w:pStyle w:val="Heading2"/>
        <w:rPr>
          <w:b w:val="1"/>
          <w:bCs w:val="1"/>
        </w:rPr>
      </w:pPr>
      <w:r w:rsidR="009F61F0">
        <w:rPr/>
        <w:t>Introduction</w:t>
      </w:r>
    </w:p>
    <w:p w:rsidRPr="009F61F0" w:rsidR="009F61F0" w:rsidP="009F61F0" w:rsidRDefault="009F61F0" w14:paraId="6453B84C" w14:textId="77777777">
      <w:pPr>
        <w:spacing w:line="240" w:lineRule="auto"/>
      </w:pPr>
      <w:r w:rsidRPr="009F61F0">
        <w:rPr>
          <w:lang w:val="en-US"/>
        </w:rPr>
        <w:t>An acute hospital stay is associated with large amounts of sedentary time (Brown, et al. 2009) resulting in reduce aerobic capacity and physical strength (</w:t>
      </w:r>
      <w:proofErr w:type="spellStart"/>
      <w:r w:rsidRPr="009F61F0">
        <w:rPr>
          <w:lang w:val="en-US"/>
        </w:rPr>
        <w:t>Tasheva</w:t>
      </w:r>
      <w:proofErr w:type="spellEnd"/>
      <w:r w:rsidRPr="009F61F0">
        <w:rPr>
          <w:lang w:val="en-US"/>
        </w:rPr>
        <w:t>, et al. 2020). Up to one third of hospitalised older adults experience a decrease in physical function (Loyd, et al. 2020).</w:t>
      </w:r>
    </w:p>
    <w:p w:rsidRPr="009F61F0" w:rsidR="009F61F0" w:rsidP="009F61F0" w:rsidRDefault="009F61F0" w14:paraId="7AD22208" w14:textId="77777777">
      <w:pPr>
        <w:spacing w:line="240" w:lineRule="auto"/>
      </w:pPr>
      <w:r w:rsidRPr="009F61F0">
        <w:rPr>
          <w:lang w:val="en-US"/>
        </w:rPr>
        <w:t>Exercise prescription on the acute inpatient medical ward can prevent decline, or at least maintain, physical outcomes in the adult population (Valenzuela, et al. 2020).</w:t>
      </w:r>
    </w:p>
    <w:p w:rsidR="009F61F0" w:rsidP="009F61F0" w:rsidRDefault="009F61F0" w14:paraId="6A7098B8" w14:textId="77777777">
      <w:pPr>
        <w:spacing w:line="240" w:lineRule="auto"/>
        <w:rPr>
          <w:lang w:val="en-US"/>
        </w:rPr>
      </w:pPr>
      <w:r w:rsidRPr="009F61F0">
        <w:rPr>
          <w:lang w:val="en-US"/>
        </w:rPr>
        <w:t>It is unknown if and how clinical trial evidence for exercise therapy in acute wards is implemented and this needs investigation to improve care pathways.</w:t>
      </w:r>
    </w:p>
    <w:p w:rsidRPr="009F61F0" w:rsidR="009F61F0" w:rsidP="1C5FB4BE" w:rsidRDefault="009F61F0" w14:paraId="50A046D4" w14:textId="6A48AC36">
      <w:pPr>
        <w:pStyle w:val="Heading2"/>
        <w:rPr>
          <w:b w:val="1"/>
          <w:bCs w:val="1"/>
          <w:lang w:val="en-US"/>
        </w:rPr>
      </w:pPr>
      <w:r w:rsidRPr="1C5FB4BE" w:rsidR="009F61F0">
        <w:rPr>
          <w:lang w:val="en-US"/>
        </w:rPr>
        <w:t>Purpose</w:t>
      </w:r>
    </w:p>
    <w:p w:rsidRPr="009F61F0" w:rsidR="009F61F0" w:rsidP="009F61F0" w:rsidRDefault="009F61F0" w14:paraId="1D03AF65" w14:textId="77777777">
      <w:pPr>
        <w:spacing w:line="240" w:lineRule="auto"/>
      </w:pPr>
      <w:r w:rsidRPr="009F61F0">
        <w:rPr>
          <w:lang w:val="en-US"/>
        </w:rPr>
        <w:t>The purpose of this research was to examine the characteristics of patients referred to physiotherapy (as an indicator of exercise therapy) on the acute medical ward and investigate the relationships between referral to physiotherapy and physical and health parameters.</w:t>
      </w:r>
    </w:p>
    <w:p w:rsidRPr="009F61F0" w:rsidR="009F61F0" w:rsidP="1C5FB4BE" w:rsidRDefault="009F61F0" w14:paraId="010893F1" w14:textId="2B7B957C">
      <w:pPr>
        <w:pStyle w:val="Heading2"/>
        <w:rPr>
          <w:b w:val="1"/>
          <w:bCs w:val="1"/>
        </w:rPr>
      </w:pPr>
      <w:r w:rsidR="009F61F0">
        <w:rPr/>
        <w:t>Methods</w:t>
      </w:r>
    </w:p>
    <w:p w:rsidRPr="009F61F0" w:rsidR="009F61F0" w:rsidP="009F61F0" w:rsidRDefault="009F61F0" w14:paraId="272076E2" w14:textId="77777777">
      <w:pPr>
        <w:spacing w:line="240" w:lineRule="auto"/>
      </w:pPr>
      <w:r w:rsidRPr="009F61F0">
        <w:t xml:space="preserve">A cross-sectional analysis of retrospective clinical records from a </w:t>
      </w:r>
      <w:proofErr w:type="gramStart"/>
      <w:r w:rsidRPr="009F61F0">
        <w:t>regional Australian hospitals acute medical wards</w:t>
      </w:r>
      <w:proofErr w:type="gramEnd"/>
      <w:r w:rsidRPr="009F61F0">
        <w:t xml:space="preserve"> was conducted. </w:t>
      </w:r>
    </w:p>
    <w:p w:rsidRPr="009F61F0" w:rsidR="009F61F0" w:rsidP="009F61F0" w:rsidRDefault="009F61F0" w14:paraId="237D7653" w14:textId="77777777">
      <w:pPr>
        <w:spacing w:line="240" w:lineRule="auto"/>
      </w:pPr>
      <w:r w:rsidRPr="009F61F0">
        <w:t>Inclusion Criteria:</w:t>
      </w:r>
    </w:p>
    <w:p w:rsidRPr="009F61F0" w:rsidR="009F61F0" w:rsidP="009F61F0" w:rsidRDefault="009F61F0" w14:paraId="1F3106CD" w14:textId="77777777">
      <w:pPr>
        <w:numPr>
          <w:ilvl w:val="0"/>
          <w:numId w:val="1"/>
        </w:numPr>
        <w:spacing w:line="240" w:lineRule="auto"/>
      </w:pPr>
      <w:r w:rsidRPr="009F61F0">
        <w:t>Adults admitted to acute medical wards</w:t>
      </w:r>
    </w:p>
    <w:p w:rsidRPr="009F61F0" w:rsidR="009F61F0" w:rsidP="009F61F0" w:rsidRDefault="009F61F0" w14:paraId="36DEA63D" w14:textId="77777777">
      <w:pPr>
        <w:numPr>
          <w:ilvl w:val="0"/>
          <w:numId w:val="1"/>
        </w:numPr>
        <w:spacing w:line="240" w:lineRule="auto"/>
      </w:pPr>
      <w:r w:rsidRPr="009F61F0">
        <w:t>Admissions from home or private residence</w:t>
      </w:r>
    </w:p>
    <w:p w:rsidRPr="009F61F0" w:rsidR="009F61F0" w:rsidP="009F61F0" w:rsidRDefault="009F61F0" w14:paraId="169C3BBE" w14:textId="77777777">
      <w:pPr>
        <w:numPr>
          <w:ilvl w:val="0"/>
          <w:numId w:val="1"/>
        </w:numPr>
        <w:spacing w:line="240" w:lineRule="auto"/>
      </w:pPr>
      <w:r w:rsidRPr="009F61F0">
        <w:t>Initial admission between January and June 2022</w:t>
      </w:r>
    </w:p>
    <w:p w:rsidRPr="009F61F0" w:rsidR="009F61F0" w:rsidP="009F61F0" w:rsidRDefault="009F61F0" w14:paraId="02ACA9BD" w14:textId="77777777">
      <w:pPr>
        <w:spacing w:line="240" w:lineRule="auto"/>
      </w:pPr>
      <w:r w:rsidRPr="009F61F0">
        <w:t>Exclusion Criteria:</w:t>
      </w:r>
    </w:p>
    <w:p w:rsidRPr="009F61F0" w:rsidR="009F61F0" w:rsidP="009F61F0" w:rsidRDefault="009F61F0" w14:paraId="34F8769A" w14:textId="77777777">
      <w:pPr>
        <w:numPr>
          <w:ilvl w:val="0"/>
          <w:numId w:val="2"/>
        </w:numPr>
        <w:spacing w:line="240" w:lineRule="auto"/>
      </w:pPr>
      <w:r w:rsidRPr="009F61F0">
        <w:t>Non-medical cases</w:t>
      </w:r>
    </w:p>
    <w:p w:rsidRPr="009F61F0" w:rsidR="009F61F0" w:rsidP="009F61F0" w:rsidRDefault="009F61F0" w14:paraId="3AEABB9A" w14:textId="77777777">
      <w:pPr>
        <w:numPr>
          <w:ilvl w:val="0"/>
          <w:numId w:val="2"/>
        </w:numPr>
        <w:spacing w:line="240" w:lineRule="auto"/>
      </w:pPr>
      <w:r w:rsidRPr="009F61F0">
        <w:t>Admission for acute stroke</w:t>
      </w:r>
    </w:p>
    <w:p w:rsidRPr="009F61F0" w:rsidR="009F61F0" w:rsidP="009F61F0" w:rsidRDefault="009F61F0" w14:paraId="5A2BE2A1" w14:textId="77777777">
      <w:pPr>
        <w:numPr>
          <w:ilvl w:val="0"/>
          <w:numId w:val="2"/>
        </w:numPr>
        <w:spacing w:line="240" w:lineRule="auto"/>
      </w:pPr>
      <w:r w:rsidRPr="009F61F0">
        <w:t>Overnight stay less than two nights</w:t>
      </w:r>
    </w:p>
    <w:p w:rsidRPr="009F61F0" w:rsidR="009F61F0" w:rsidP="009F61F0" w:rsidRDefault="009F61F0" w14:paraId="60A2129A" w14:textId="77777777">
      <w:pPr>
        <w:numPr>
          <w:ilvl w:val="0"/>
          <w:numId w:val="2"/>
        </w:numPr>
        <w:spacing w:line="240" w:lineRule="auto"/>
      </w:pPr>
      <w:r w:rsidRPr="009F61F0">
        <w:t>Subsequent admissions within the data capture period</w:t>
      </w:r>
    </w:p>
    <w:p w:rsidR="009F61F0" w:rsidP="1C5FB4BE" w:rsidRDefault="009F61F0" w14:paraId="5C79FB9B" w14:textId="0B83763F">
      <w:pPr>
        <w:pStyle w:val="Heading2"/>
        <w:rPr>
          <w:b w:val="1"/>
          <w:bCs w:val="1"/>
        </w:rPr>
      </w:pPr>
      <w:r w:rsidR="009F61F0">
        <w:rPr/>
        <w:t>Data Extraction</w:t>
      </w:r>
    </w:p>
    <w:p w:rsidRPr="009F61F0" w:rsidR="009F61F0" w:rsidP="009F61F0" w:rsidRDefault="009F61F0" w14:paraId="74D7B97D" w14:textId="77777777">
      <w:pPr>
        <w:spacing w:line="240" w:lineRule="auto"/>
      </w:pPr>
      <w:r w:rsidRPr="009F61F0">
        <w:t xml:space="preserve">The data extracted from each case and </w:t>
      </w:r>
      <w:proofErr w:type="gramStart"/>
      <w:r w:rsidRPr="009F61F0">
        <w:t>entered into</w:t>
      </w:r>
      <w:proofErr w:type="gramEnd"/>
      <w:r w:rsidRPr="009F61F0">
        <w:t xml:space="preserve"> a REDCap</w:t>
      </w:r>
      <w:r w:rsidRPr="009F61F0">
        <w:rPr>
          <w:vertAlign w:val="superscript"/>
        </w:rPr>
        <w:t xml:space="preserve">© </w:t>
      </w:r>
      <w:r w:rsidRPr="009F61F0">
        <w:t>survey form included:</w:t>
      </w:r>
    </w:p>
    <w:p w:rsidRPr="009F61F0" w:rsidR="009F61F0" w:rsidP="009F61F0" w:rsidRDefault="009F61F0" w14:paraId="12F3F64F" w14:textId="77777777">
      <w:pPr>
        <w:numPr>
          <w:ilvl w:val="0"/>
          <w:numId w:val="3"/>
        </w:numPr>
        <w:spacing w:line="240" w:lineRule="auto"/>
      </w:pPr>
      <w:r w:rsidRPr="009F61F0">
        <w:t>Age &amp; Sex</w:t>
      </w:r>
    </w:p>
    <w:p w:rsidRPr="009F61F0" w:rsidR="009F61F0" w:rsidP="009F61F0" w:rsidRDefault="009F61F0" w14:paraId="343CFEF4" w14:textId="77777777">
      <w:pPr>
        <w:numPr>
          <w:ilvl w:val="0"/>
          <w:numId w:val="3"/>
        </w:numPr>
        <w:spacing w:line="240" w:lineRule="auto"/>
      </w:pPr>
      <w:r w:rsidRPr="009F61F0">
        <w:t>Admission source</w:t>
      </w:r>
    </w:p>
    <w:p w:rsidRPr="009F61F0" w:rsidR="009F61F0" w:rsidP="009F61F0" w:rsidRDefault="009F61F0" w14:paraId="230DB0B5" w14:textId="77777777">
      <w:pPr>
        <w:numPr>
          <w:ilvl w:val="0"/>
          <w:numId w:val="3"/>
        </w:numPr>
        <w:spacing w:line="240" w:lineRule="auto"/>
      </w:pPr>
      <w:r w:rsidRPr="009F61F0">
        <w:t>Admission diagnosis</w:t>
      </w:r>
    </w:p>
    <w:p w:rsidRPr="009F61F0" w:rsidR="009F61F0" w:rsidP="009F61F0" w:rsidRDefault="009F61F0" w14:paraId="5F40CFF7" w14:textId="77777777">
      <w:pPr>
        <w:numPr>
          <w:ilvl w:val="0"/>
          <w:numId w:val="3"/>
        </w:numPr>
        <w:spacing w:line="240" w:lineRule="auto"/>
      </w:pPr>
      <w:r w:rsidRPr="009F61F0">
        <w:t>Mobility status</w:t>
      </w:r>
    </w:p>
    <w:p w:rsidRPr="009F61F0" w:rsidR="009F61F0" w:rsidP="009F61F0" w:rsidRDefault="009F61F0" w14:paraId="54772A1E" w14:textId="77777777">
      <w:pPr>
        <w:numPr>
          <w:ilvl w:val="0"/>
          <w:numId w:val="3"/>
        </w:numPr>
        <w:spacing w:line="240" w:lineRule="auto"/>
      </w:pPr>
      <w:r w:rsidRPr="009F61F0">
        <w:t>Length of stay</w:t>
      </w:r>
    </w:p>
    <w:p w:rsidRPr="009F61F0" w:rsidR="009F61F0" w:rsidP="009F61F0" w:rsidRDefault="009F61F0" w14:paraId="7A97B69C" w14:textId="77777777">
      <w:pPr>
        <w:numPr>
          <w:ilvl w:val="0"/>
          <w:numId w:val="3"/>
        </w:numPr>
        <w:spacing w:line="240" w:lineRule="auto"/>
      </w:pPr>
      <w:r w:rsidRPr="009F61F0">
        <w:t>Discharge destination</w:t>
      </w:r>
    </w:p>
    <w:p w:rsidR="009F61F0" w:rsidP="009F61F0" w:rsidRDefault="009F61F0" w14:paraId="5EF8AE44" w14:textId="29456639">
      <w:pPr>
        <w:pStyle w:val="ListParagraph"/>
        <w:numPr>
          <w:ilvl w:val="0"/>
          <w:numId w:val="3"/>
        </w:numPr>
        <w:spacing w:line="240" w:lineRule="auto"/>
      </w:pPr>
      <w:r w:rsidRPr="009F61F0">
        <w:t>30-day readmission</w:t>
      </w:r>
    </w:p>
    <w:p w:rsidR="009F61F0" w:rsidP="1C5FB4BE" w:rsidRDefault="009F61F0" w14:paraId="28BD9AD2" w14:textId="17AAEBE5">
      <w:pPr>
        <w:pStyle w:val="Heading2"/>
        <w:rPr>
          <w:b w:val="1"/>
          <w:bCs w:val="1"/>
        </w:rPr>
      </w:pPr>
      <w:r w:rsidR="009F61F0">
        <w:rPr/>
        <w:t>Data Analysis</w:t>
      </w:r>
    </w:p>
    <w:p w:rsidRPr="009F61F0" w:rsidR="009F61F0" w:rsidP="009F61F0" w:rsidRDefault="009F61F0" w14:paraId="12E04E3C" w14:textId="77777777">
      <w:pPr>
        <w:spacing w:line="240" w:lineRule="auto"/>
      </w:pPr>
      <w:r w:rsidRPr="009F61F0">
        <w:t>Outcomes were compared between groups using descriptive statistics and appropriate inferential tests (t</w:t>
      </w:r>
      <w:r w:rsidRPr="009F61F0">
        <w:noBreakHyphen/>
      </w:r>
      <w:r w:rsidRPr="009F61F0">
        <w:t>tests, Mann–Whitney U, and chi</w:t>
      </w:r>
      <w:r w:rsidRPr="009F61F0">
        <w:noBreakHyphen/>
      </w:r>
      <w:r w:rsidRPr="009F61F0">
        <w:t xml:space="preserve">squared tests). </w:t>
      </w:r>
    </w:p>
    <w:p w:rsidRPr="009F61F0" w:rsidR="009F61F0" w:rsidP="009F61F0" w:rsidRDefault="009F61F0" w14:paraId="42260AA5" w14:textId="77777777">
      <w:pPr>
        <w:spacing w:line="240" w:lineRule="auto"/>
      </w:pPr>
      <w:r w:rsidRPr="009F61F0">
        <w:t xml:space="preserve">Multivariable regression analyses examined associations between physiotherapy referral and length of stay (negative binomial regression), and mobility (ordinal logistic regression). </w:t>
      </w:r>
    </w:p>
    <w:p w:rsidR="009F61F0" w:rsidP="009F61F0" w:rsidRDefault="009F61F0" w14:paraId="70AC96B2" w14:textId="48733448">
      <w:pPr>
        <w:spacing w:line="240" w:lineRule="auto"/>
      </w:pPr>
      <w:r w:rsidRPr="009F61F0">
        <w:t>Statistical significance was set at p</w:t>
      </w:r>
      <w:r w:rsidRPr="009F61F0">
        <w:rPr>
          <w:rFonts w:ascii="Arial" w:hAnsi="Arial" w:cs="Arial"/>
        </w:rPr>
        <w:t> </w:t>
      </w:r>
      <w:r w:rsidRPr="009F61F0">
        <w:t>&lt;</w:t>
      </w:r>
      <w:r w:rsidRPr="009F61F0">
        <w:rPr>
          <w:rFonts w:ascii="Arial" w:hAnsi="Arial" w:cs="Arial"/>
        </w:rPr>
        <w:t> </w:t>
      </w:r>
      <w:r w:rsidRPr="009F61F0">
        <w:t>0.05. Analyses were conducted using Stata (v19)</w:t>
      </w:r>
    </w:p>
    <w:p w:rsidR="009F61F0" w:rsidP="1C5FB4BE" w:rsidRDefault="009F61F0" w14:paraId="217A4C91" w14:textId="35C350AB">
      <w:pPr>
        <w:pStyle w:val="Heading2"/>
        <w:rPr>
          <w:b w:val="1"/>
          <w:bCs w:val="1"/>
        </w:rPr>
      </w:pPr>
      <w:r w:rsidR="009F61F0">
        <w:rPr/>
        <w:t>Results</w:t>
      </w:r>
    </w:p>
    <w:p w:rsidRPr="009F61F0" w:rsidR="009F61F0" w:rsidP="009F61F0" w:rsidRDefault="009F61F0" w14:paraId="12905BF6" w14:textId="77777777">
      <w:pPr>
        <w:spacing w:line="240" w:lineRule="auto"/>
      </w:pPr>
      <w:r w:rsidRPr="009F61F0">
        <w:t xml:space="preserve">Between January and June 2022, 1,167 cases were eligible for inclusion. </w:t>
      </w:r>
    </w:p>
    <w:p w:rsidRPr="009F61F0" w:rsidR="009F61F0" w:rsidP="009F61F0" w:rsidRDefault="009F61F0" w14:paraId="4724AB88" w14:textId="77777777">
      <w:pPr>
        <w:numPr>
          <w:ilvl w:val="0"/>
          <w:numId w:val="4"/>
        </w:numPr>
        <w:spacing w:line="240" w:lineRule="auto"/>
      </w:pPr>
      <w:r w:rsidRPr="009F61F0">
        <w:t xml:space="preserve">67.5% (788) were referred to physiotherapy </w:t>
      </w:r>
    </w:p>
    <w:p w:rsidRPr="009F61F0" w:rsidR="009F61F0" w:rsidP="009F61F0" w:rsidRDefault="009F61F0" w14:paraId="64D55EF7" w14:textId="77777777">
      <w:pPr>
        <w:numPr>
          <w:ilvl w:val="0"/>
          <w:numId w:val="4"/>
        </w:numPr>
        <w:spacing w:line="240" w:lineRule="auto"/>
      </w:pPr>
      <w:r w:rsidRPr="009F61F0">
        <w:t>Cases referred to physiotherapy were older (74.7 vs 59.9 years, p&lt;0.001) (Fig 1a) and had a longer length of stay (6.6 vs 4.4 days, p&lt;0.001) (Fig 1b).</w:t>
      </w:r>
    </w:p>
    <w:p w:rsidR="009F61F0" w:rsidP="009F61F0" w:rsidRDefault="009F61F0" w14:paraId="44BCA8DC" w14:textId="31F04B0E">
      <w:pPr>
        <w:spacing w:line="240" w:lineRule="auto"/>
      </w:pPr>
    </w:p>
    <w:p w:rsidR="005C3888" w:rsidP="009F61F0" w:rsidRDefault="005C3888" w14:paraId="714A1F8B" w14:textId="2332B5A6">
      <w:pPr>
        <w:spacing w:line="240" w:lineRule="auto"/>
      </w:pPr>
      <w:r>
        <w:t>Alternate text:  Fig 1a: Bar graph showing age differences between referral groups with those referred to physiotherapy being higher in age</w:t>
      </w:r>
    </w:p>
    <w:p w:rsidR="009F61F0" w:rsidP="6D608A88" w:rsidRDefault="009F61F0" w14:paraId="622B43FC" w14:textId="54AF9684">
      <w:pPr>
        <w:pStyle w:val="Normal"/>
        <w:spacing w:line="240" w:lineRule="auto"/>
      </w:pPr>
    </w:p>
    <w:p w:rsidR="005C3888" w:rsidP="005C3888" w:rsidRDefault="005C3888" w14:paraId="7EB5592D" w14:textId="2E739794">
      <w:pPr>
        <w:spacing w:line="240" w:lineRule="auto"/>
      </w:pPr>
      <w:r>
        <w:t>Alternate text:  Fig 1b: Bar graph showing differences in length of stay between referral groups with those referred to physiotherapy having longer stay durations</w:t>
      </w:r>
    </w:p>
    <w:p w:rsidR="009F61F0" w:rsidP="6D608A88" w:rsidRDefault="009F61F0" w14:paraId="7A14A274" w14:textId="0C5C938E">
      <w:pPr>
        <w:pStyle w:val="Normal"/>
        <w:spacing w:line="240" w:lineRule="auto"/>
      </w:pPr>
    </w:p>
    <w:p w:rsidR="005C3888" w:rsidP="005C3888" w:rsidRDefault="005C3888" w14:paraId="198720AC" w14:textId="3A63750A">
      <w:pPr>
        <w:spacing w:line="240" w:lineRule="auto"/>
      </w:pPr>
      <w:r>
        <w:t>Alternate text:  Fig 1c: Bar graph showing differences in diagnosis between referral groups with those nervous and musculoskeletal disorders significantly more likely to be referred to physiotherapy.</w:t>
      </w:r>
    </w:p>
    <w:p w:rsidR="005C3888" w:rsidP="009F61F0" w:rsidRDefault="005C3888" w14:paraId="1E896F7F" w14:textId="77777777">
      <w:pPr>
        <w:spacing w:line="240" w:lineRule="auto"/>
      </w:pPr>
    </w:p>
    <w:p w:rsidRPr="009F61F0" w:rsidR="009F61F0" w:rsidP="009F61F0" w:rsidRDefault="009F61F0" w14:paraId="1A73982A" w14:textId="77777777">
      <w:pPr>
        <w:spacing w:line="240" w:lineRule="auto"/>
      </w:pPr>
      <w:r w:rsidRPr="009F61F0">
        <w:t>Diagnosis categories of nervous system disorders (2.52 (1.74-3.67), p&lt;0.001) and musculoskeletal disorders/trauma (1.13 (1.04-1.22), p&lt;0.001) (Fig 1c) and individuals requiring assisted mobility (1.4 (1.03-2.00), p=0.031) (Fig 1d) were more likely to receive a referral to physiotherapy.</w:t>
      </w:r>
    </w:p>
    <w:p w:rsidR="009F61F0" w:rsidP="009F61F0" w:rsidRDefault="009F61F0" w14:paraId="049B917A" w14:textId="7C38A283">
      <w:pPr>
        <w:spacing w:line="240" w:lineRule="auto"/>
      </w:pPr>
    </w:p>
    <w:p w:rsidR="005C3888" w:rsidP="005C3888" w:rsidRDefault="005C3888" w14:paraId="12AE4EF2" w14:textId="6A29B07F">
      <w:pPr>
        <w:spacing w:line="240" w:lineRule="auto"/>
      </w:pPr>
      <w:r>
        <w:t>Alternate text:  Fig 1d: Bar graph showing mobility differences between referral groups with those referred to physiotherapy likely to have higher mobility needs</w:t>
      </w:r>
    </w:p>
    <w:p w:rsidR="005C3888" w:rsidP="009F61F0" w:rsidRDefault="005C3888" w14:paraId="216AA0FA" w14:textId="77777777">
      <w:pPr>
        <w:spacing w:line="240" w:lineRule="auto"/>
        <w:rPr>
          <w:b/>
          <w:bCs/>
        </w:rPr>
      </w:pPr>
    </w:p>
    <w:p w:rsidRPr="009F61F0" w:rsidR="009F61F0" w:rsidP="6D608A88" w:rsidRDefault="009F61F0" w14:paraId="37DAC222" w14:textId="148DDD2C">
      <w:pPr>
        <w:pStyle w:val="Heading2"/>
        <w:rPr>
          <w:b w:val="1"/>
          <w:bCs w:val="1"/>
        </w:rPr>
      </w:pPr>
      <w:r w:rsidR="718D2E55">
        <w:rPr/>
        <w:t>Conclusions</w:t>
      </w:r>
    </w:p>
    <w:p w:rsidRPr="009F61F0" w:rsidR="009F61F0" w:rsidP="009F61F0" w:rsidRDefault="009F61F0" w14:paraId="22B18819" w14:textId="77777777">
      <w:pPr>
        <w:numPr>
          <w:ilvl w:val="0"/>
          <w:numId w:val="5"/>
        </w:numPr>
        <w:spacing w:line="240" w:lineRule="auto"/>
      </w:pPr>
      <w:r w:rsidRPr="009F61F0">
        <w:rPr>
          <w:lang w:val="en-US"/>
        </w:rPr>
        <w:t>Cases are more likely to be referred to physiotherapy on the acute medical ward if they are older, have reduced mobility and have either a nervous or musculoskeletal disorder.</w:t>
      </w:r>
    </w:p>
    <w:p w:rsidRPr="009F61F0" w:rsidR="009F61F0" w:rsidP="009F61F0" w:rsidRDefault="009F61F0" w14:paraId="0FBEE773" w14:textId="77777777">
      <w:pPr>
        <w:numPr>
          <w:ilvl w:val="0"/>
          <w:numId w:val="5"/>
        </w:numPr>
        <w:spacing w:line="240" w:lineRule="auto"/>
      </w:pPr>
      <w:r w:rsidRPr="009F61F0">
        <w:rPr>
          <w:lang w:val="en-US"/>
        </w:rPr>
        <w:t>Cases referred to physiotherapy will likely have a longer length of stay.</w:t>
      </w:r>
    </w:p>
    <w:p w:rsidRPr="009F61F0" w:rsidR="009F61F0" w:rsidP="009F61F0" w:rsidRDefault="009F61F0" w14:paraId="29C1DB61" w14:textId="77777777">
      <w:pPr>
        <w:numPr>
          <w:ilvl w:val="0"/>
          <w:numId w:val="5"/>
        </w:numPr>
        <w:spacing w:line="240" w:lineRule="auto"/>
      </w:pPr>
      <w:r w:rsidRPr="009F61F0">
        <w:rPr>
          <w:lang w:val="en-US"/>
        </w:rPr>
        <w:t>Cases referred to physiotherapy, and therefore more likely to receive exercise therapy, will likely have more complex clinical needs.</w:t>
      </w:r>
    </w:p>
    <w:p w:rsidRPr="009F61F0" w:rsidR="009F61F0" w:rsidP="6D608A88" w:rsidRDefault="009F61F0" w14:paraId="0D09DF59" w14:textId="2064758A">
      <w:pPr>
        <w:numPr>
          <w:ilvl w:val="0"/>
          <w:numId w:val="5"/>
        </w:numPr>
        <w:spacing w:line="240" w:lineRule="auto"/>
        <w:rPr>
          <w:lang w:val="en-US"/>
        </w:rPr>
      </w:pPr>
      <w:r w:rsidRPr="6D608A88" w:rsidR="718D2E55">
        <w:rPr>
          <w:lang w:val="en-US"/>
        </w:rPr>
        <w:t>Further research is needed on how evidence from clinical exercise therapy trials can be implemented on acute wards to prevent a decrease in physical function.</w:t>
      </w:r>
    </w:p>
    <w:p w:rsidR="6D608A88" w:rsidP="6D608A88" w:rsidRDefault="6D608A88" w14:paraId="5A75E77D" w14:textId="3FAC9C84">
      <w:pPr>
        <w:spacing w:line="240" w:lineRule="auto"/>
        <w:ind w:left="720"/>
        <w:rPr>
          <w:lang w:val="en-US"/>
        </w:rPr>
      </w:pPr>
    </w:p>
    <w:p w:rsidRPr="009F61F0" w:rsidR="009F61F0" w:rsidP="6D608A88" w:rsidRDefault="009F61F0" w14:paraId="4F90D8EA" w14:textId="50D352B1">
      <w:pPr>
        <w:pStyle w:val="Heading2"/>
        <w:rPr>
          <w:b w:val="1"/>
          <w:bCs w:val="1"/>
        </w:rPr>
      </w:pPr>
      <w:r w:rsidR="718D2E55">
        <w:rPr/>
        <w:t>References</w:t>
      </w:r>
    </w:p>
    <w:p w:rsidRPr="009F61F0" w:rsidR="009F61F0" w:rsidP="009F61F0" w:rsidRDefault="009F61F0" w14:paraId="0F678CBA" w14:textId="77777777">
      <w:pPr>
        <w:spacing w:line="240" w:lineRule="auto"/>
      </w:pPr>
      <w:r w:rsidRPr="009F61F0">
        <w:t xml:space="preserve">Brown CJ, Redden DT, Flood KL, et al. The underrecognized epidemic of low mobility during hospitalization of older adults. </w:t>
      </w:r>
      <w:r w:rsidRPr="009F61F0">
        <w:rPr>
          <w:i/>
          <w:iCs/>
        </w:rPr>
        <w:t xml:space="preserve">J Am </w:t>
      </w:r>
      <w:proofErr w:type="spellStart"/>
      <w:r w:rsidRPr="009F61F0">
        <w:rPr>
          <w:i/>
          <w:iCs/>
        </w:rPr>
        <w:t>Geriatr</w:t>
      </w:r>
      <w:proofErr w:type="spellEnd"/>
      <w:r w:rsidRPr="009F61F0">
        <w:rPr>
          <w:i/>
          <w:iCs/>
        </w:rPr>
        <w:t xml:space="preserve"> Soc</w:t>
      </w:r>
      <w:r w:rsidRPr="009F61F0">
        <w:t xml:space="preserve"> 2009; 57: 1660-1665. </w:t>
      </w:r>
    </w:p>
    <w:p w:rsidRPr="009F61F0" w:rsidR="009F61F0" w:rsidP="009F61F0" w:rsidRDefault="009F61F0" w14:paraId="128E66A8" w14:textId="77777777">
      <w:pPr>
        <w:spacing w:line="240" w:lineRule="auto"/>
      </w:pPr>
      <w:proofErr w:type="spellStart"/>
      <w:r w:rsidRPr="009F61F0">
        <w:t>Tasheva</w:t>
      </w:r>
      <w:proofErr w:type="spellEnd"/>
      <w:r w:rsidRPr="009F61F0">
        <w:t xml:space="preserve"> P, Marques-Vidal P, Mean M, et al. Association between physical activity levels in the hospital setting and hospital-acquired functional decline in elderly patients. </w:t>
      </w:r>
      <w:r w:rsidRPr="009F61F0">
        <w:rPr>
          <w:i/>
          <w:iCs/>
        </w:rPr>
        <w:t xml:space="preserve">JAMA </w:t>
      </w:r>
      <w:proofErr w:type="spellStart"/>
      <w:r w:rsidRPr="009F61F0">
        <w:rPr>
          <w:i/>
          <w:iCs/>
        </w:rPr>
        <w:t>Netw</w:t>
      </w:r>
      <w:proofErr w:type="spellEnd"/>
      <w:r w:rsidRPr="009F61F0">
        <w:rPr>
          <w:i/>
          <w:iCs/>
        </w:rPr>
        <w:t xml:space="preserve"> Open</w:t>
      </w:r>
      <w:r w:rsidRPr="009F61F0">
        <w:t xml:space="preserve"> 2020; 3: e1920185.</w:t>
      </w:r>
    </w:p>
    <w:p w:rsidRPr="009F61F0" w:rsidR="009F61F0" w:rsidP="009F61F0" w:rsidRDefault="009F61F0" w14:paraId="7C04FF83" w14:textId="77777777">
      <w:pPr>
        <w:spacing w:line="240" w:lineRule="auto"/>
      </w:pPr>
      <w:r w:rsidRPr="009F61F0">
        <w:t xml:space="preserve">Loyd C, Markland AD, Zhang Y, et al. Prevalence of hospital-associated disability in older adults: a meta-analysis. </w:t>
      </w:r>
      <w:r w:rsidRPr="009F61F0">
        <w:rPr>
          <w:i/>
          <w:iCs/>
        </w:rPr>
        <w:t>J Am Med Dir Assoc</w:t>
      </w:r>
      <w:r w:rsidRPr="009F61F0">
        <w:t xml:space="preserve"> 2020; 21: 455-461.</w:t>
      </w:r>
    </w:p>
    <w:p w:rsidRPr="009F61F0" w:rsidR="009F61F0" w:rsidP="009F61F0" w:rsidRDefault="009F61F0" w14:paraId="66CB458A" w14:textId="77777777">
      <w:pPr>
        <w:spacing w:line="240" w:lineRule="auto"/>
      </w:pPr>
      <w:r w:rsidRPr="009F61F0">
        <w:t xml:space="preserve">Valenzuela PL, Morales JS, Castillo-García A, et al. Effects of exercise interventions on the functional status of acutely hospitalised older adults: a systematic review and meta-analysis. </w:t>
      </w:r>
      <w:r w:rsidRPr="009F61F0">
        <w:rPr>
          <w:i/>
          <w:iCs/>
        </w:rPr>
        <w:t>Ageing Res Rev</w:t>
      </w:r>
      <w:r w:rsidRPr="009F61F0">
        <w:t xml:space="preserve"> 2020; 61: 101076. </w:t>
      </w:r>
    </w:p>
    <w:p w:rsidRPr="009F61F0" w:rsidR="009F61F0" w:rsidP="009F61F0" w:rsidRDefault="009F61F0" w14:paraId="7871749C" w14:textId="2F8C8501">
      <w:pPr>
        <w:spacing w:line="240" w:lineRule="auto"/>
        <w:rPr>
          <w:b/>
          <w:bCs/>
        </w:rPr>
      </w:pPr>
      <w:r w:rsidRPr="009F61F0">
        <w:rPr>
          <w:b/>
          <w:bCs/>
        </w:rPr>
        <w:t>Contact</w:t>
      </w:r>
    </w:p>
    <w:p w:rsidRPr="009F61F0" w:rsidR="009F61F0" w:rsidP="009F61F0" w:rsidRDefault="009F61F0" w14:paraId="575A1691" w14:textId="77777777">
      <w:pPr>
        <w:spacing w:line="240" w:lineRule="auto"/>
      </w:pPr>
      <w:r w:rsidRPr="009F61F0">
        <w:rPr>
          <w:lang w:val="en-US"/>
        </w:rPr>
        <w:t>Jane McCaig (AEP)</w:t>
      </w:r>
    </w:p>
    <w:p w:rsidRPr="009F61F0" w:rsidR="009F61F0" w:rsidP="009F61F0" w:rsidRDefault="009F61F0" w14:paraId="3620A566" w14:textId="77777777">
      <w:pPr>
        <w:spacing w:line="240" w:lineRule="auto"/>
      </w:pPr>
      <w:r w:rsidRPr="009F61F0">
        <w:rPr>
          <w:lang w:val="en-US"/>
        </w:rPr>
        <w:t>La Trobe Rural Health School, La Trobe University, Bendigo, Australia</w:t>
      </w:r>
    </w:p>
    <w:p w:rsidRPr="009F61F0" w:rsidR="009F61F0" w:rsidP="009F61F0" w:rsidRDefault="009F61F0" w14:paraId="1D76030A" w14:textId="77777777">
      <w:pPr>
        <w:spacing w:line="240" w:lineRule="auto"/>
      </w:pPr>
      <w:r w:rsidRPr="009F61F0">
        <w:rPr>
          <w:lang w:val="en-US"/>
        </w:rPr>
        <w:t>Email: j.mccaig@latrobe.edu.au</w:t>
      </w:r>
    </w:p>
    <w:p w:rsidRPr="009F61F0" w:rsidR="009F61F0" w:rsidP="009F61F0" w:rsidRDefault="009F61F0" w14:paraId="2A4A9576" w14:textId="77777777">
      <w:pPr>
        <w:spacing w:line="240" w:lineRule="auto"/>
      </w:pPr>
    </w:p>
    <w:sectPr w:rsidRPr="009F61F0" w:rsidR="009F61F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9B1E3A"/>
    <w:multiLevelType w:val="hybridMultilevel"/>
    <w:tmpl w:val="EFBEE9CE"/>
    <w:lvl w:ilvl="0" w:tplc="027EE788">
      <w:start w:val="1"/>
      <w:numFmt w:val="bullet"/>
      <w:lvlText w:val="•"/>
      <w:lvlJc w:val="left"/>
      <w:pPr>
        <w:tabs>
          <w:tab w:val="num" w:pos="720"/>
        </w:tabs>
        <w:ind w:left="720" w:hanging="360"/>
      </w:pPr>
      <w:rPr>
        <w:rFonts w:hint="default" w:ascii="Arial" w:hAnsi="Arial"/>
      </w:rPr>
    </w:lvl>
    <w:lvl w:ilvl="1" w:tplc="DC96E97E" w:tentative="1">
      <w:start w:val="1"/>
      <w:numFmt w:val="bullet"/>
      <w:lvlText w:val="•"/>
      <w:lvlJc w:val="left"/>
      <w:pPr>
        <w:tabs>
          <w:tab w:val="num" w:pos="1440"/>
        </w:tabs>
        <w:ind w:left="1440" w:hanging="360"/>
      </w:pPr>
      <w:rPr>
        <w:rFonts w:hint="default" w:ascii="Arial" w:hAnsi="Arial"/>
      </w:rPr>
    </w:lvl>
    <w:lvl w:ilvl="2" w:tplc="191CBBE6" w:tentative="1">
      <w:start w:val="1"/>
      <w:numFmt w:val="bullet"/>
      <w:lvlText w:val="•"/>
      <w:lvlJc w:val="left"/>
      <w:pPr>
        <w:tabs>
          <w:tab w:val="num" w:pos="2160"/>
        </w:tabs>
        <w:ind w:left="2160" w:hanging="360"/>
      </w:pPr>
      <w:rPr>
        <w:rFonts w:hint="default" w:ascii="Arial" w:hAnsi="Arial"/>
      </w:rPr>
    </w:lvl>
    <w:lvl w:ilvl="3" w:tplc="DE227F6A" w:tentative="1">
      <w:start w:val="1"/>
      <w:numFmt w:val="bullet"/>
      <w:lvlText w:val="•"/>
      <w:lvlJc w:val="left"/>
      <w:pPr>
        <w:tabs>
          <w:tab w:val="num" w:pos="2880"/>
        </w:tabs>
        <w:ind w:left="2880" w:hanging="360"/>
      </w:pPr>
      <w:rPr>
        <w:rFonts w:hint="default" w:ascii="Arial" w:hAnsi="Arial"/>
      </w:rPr>
    </w:lvl>
    <w:lvl w:ilvl="4" w:tplc="789A2BE0" w:tentative="1">
      <w:start w:val="1"/>
      <w:numFmt w:val="bullet"/>
      <w:lvlText w:val="•"/>
      <w:lvlJc w:val="left"/>
      <w:pPr>
        <w:tabs>
          <w:tab w:val="num" w:pos="3600"/>
        </w:tabs>
        <w:ind w:left="3600" w:hanging="360"/>
      </w:pPr>
      <w:rPr>
        <w:rFonts w:hint="default" w:ascii="Arial" w:hAnsi="Arial"/>
      </w:rPr>
    </w:lvl>
    <w:lvl w:ilvl="5" w:tplc="9502F340" w:tentative="1">
      <w:start w:val="1"/>
      <w:numFmt w:val="bullet"/>
      <w:lvlText w:val="•"/>
      <w:lvlJc w:val="left"/>
      <w:pPr>
        <w:tabs>
          <w:tab w:val="num" w:pos="4320"/>
        </w:tabs>
        <w:ind w:left="4320" w:hanging="360"/>
      </w:pPr>
      <w:rPr>
        <w:rFonts w:hint="default" w:ascii="Arial" w:hAnsi="Arial"/>
      </w:rPr>
    </w:lvl>
    <w:lvl w:ilvl="6" w:tplc="64C0ACBC" w:tentative="1">
      <w:start w:val="1"/>
      <w:numFmt w:val="bullet"/>
      <w:lvlText w:val="•"/>
      <w:lvlJc w:val="left"/>
      <w:pPr>
        <w:tabs>
          <w:tab w:val="num" w:pos="5040"/>
        </w:tabs>
        <w:ind w:left="5040" w:hanging="360"/>
      </w:pPr>
      <w:rPr>
        <w:rFonts w:hint="default" w:ascii="Arial" w:hAnsi="Arial"/>
      </w:rPr>
    </w:lvl>
    <w:lvl w:ilvl="7" w:tplc="4294844A" w:tentative="1">
      <w:start w:val="1"/>
      <w:numFmt w:val="bullet"/>
      <w:lvlText w:val="•"/>
      <w:lvlJc w:val="left"/>
      <w:pPr>
        <w:tabs>
          <w:tab w:val="num" w:pos="5760"/>
        </w:tabs>
        <w:ind w:left="5760" w:hanging="360"/>
      </w:pPr>
      <w:rPr>
        <w:rFonts w:hint="default" w:ascii="Arial" w:hAnsi="Arial"/>
      </w:rPr>
    </w:lvl>
    <w:lvl w:ilvl="8" w:tplc="AF1C436C"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348460FB"/>
    <w:multiLevelType w:val="hybridMultilevel"/>
    <w:tmpl w:val="93803FEA"/>
    <w:lvl w:ilvl="0" w:tplc="6F825F1C">
      <w:start w:val="1"/>
      <w:numFmt w:val="bullet"/>
      <w:lvlText w:val="•"/>
      <w:lvlJc w:val="left"/>
      <w:pPr>
        <w:tabs>
          <w:tab w:val="num" w:pos="720"/>
        </w:tabs>
        <w:ind w:left="720" w:hanging="360"/>
      </w:pPr>
      <w:rPr>
        <w:rFonts w:hint="default" w:ascii="Arial" w:hAnsi="Arial"/>
      </w:rPr>
    </w:lvl>
    <w:lvl w:ilvl="1" w:tplc="32901672" w:tentative="1">
      <w:start w:val="1"/>
      <w:numFmt w:val="bullet"/>
      <w:lvlText w:val="•"/>
      <w:lvlJc w:val="left"/>
      <w:pPr>
        <w:tabs>
          <w:tab w:val="num" w:pos="1440"/>
        </w:tabs>
        <w:ind w:left="1440" w:hanging="360"/>
      </w:pPr>
      <w:rPr>
        <w:rFonts w:hint="default" w:ascii="Arial" w:hAnsi="Arial"/>
      </w:rPr>
    </w:lvl>
    <w:lvl w:ilvl="2" w:tplc="5DD8A7FA" w:tentative="1">
      <w:start w:val="1"/>
      <w:numFmt w:val="bullet"/>
      <w:lvlText w:val="•"/>
      <w:lvlJc w:val="left"/>
      <w:pPr>
        <w:tabs>
          <w:tab w:val="num" w:pos="2160"/>
        </w:tabs>
        <w:ind w:left="2160" w:hanging="360"/>
      </w:pPr>
      <w:rPr>
        <w:rFonts w:hint="default" w:ascii="Arial" w:hAnsi="Arial"/>
      </w:rPr>
    </w:lvl>
    <w:lvl w:ilvl="3" w:tplc="9350DF00" w:tentative="1">
      <w:start w:val="1"/>
      <w:numFmt w:val="bullet"/>
      <w:lvlText w:val="•"/>
      <w:lvlJc w:val="left"/>
      <w:pPr>
        <w:tabs>
          <w:tab w:val="num" w:pos="2880"/>
        </w:tabs>
        <w:ind w:left="2880" w:hanging="360"/>
      </w:pPr>
      <w:rPr>
        <w:rFonts w:hint="default" w:ascii="Arial" w:hAnsi="Arial"/>
      </w:rPr>
    </w:lvl>
    <w:lvl w:ilvl="4" w:tplc="B9706BE0" w:tentative="1">
      <w:start w:val="1"/>
      <w:numFmt w:val="bullet"/>
      <w:lvlText w:val="•"/>
      <w:lvlJc w:val="left"/>
      <w:pPr>
        <w:tabs>
          <w:tab w:val="num" w:pos="3600"/>
        </w:tabs>
        <w:ind w:left="3600" w:hanging="360"/>
      </w:pPr>
      <w:rPr>
        <w:rFonts w:hint="default" w:ascii="Arial" w:hAnsi="Arial"/>
      </w:rPr>
    </w:lvl>
    <w:lvl w:ilvl="5" w:tplc="E3EC95B4" w:tentative="1">
      <w:start w:val="1"/>
      <w:numFmt w:val="bullet"/>
      <w:lvlText w:val="•"/>
      <w:lvlJc w:val="left"/>
      <w:pPr>
        <w:tabs>
          <w:tab w:val="num" w:pos="4320"/>
        </w:tabs>
        <w:ind w:left="4320" w:hanging="360"/>
      </w:pPr>
      <w:rPr>
        <w:rFonts w:hint="default" w:ascii="Arial" w:hAnsi="Arial"/>
      </w:rPr>
    </w:lvl>
    <w:lvl w:ilvl="6" w:tplc="832E0A82" w:tentative="1">
      <w:start w:val="1"/>
      <w:numFmt w:val="bullet"/>
      <w:lvlText w:val="•"/>
      <w:lvlJc w:val="left"/>
      <w:pPr>
        <w:tabs>
          <w:tab w:val="num" w:pos="5040"/>
        </w:tabs>
        <w:ind w:left="5040" w:hanging="360"/>
      </w:pPr>
      <w:rPr>
        <w:rFonts w:hint="default" w:ascii="Arial" w:hAnsi="Arial"/>
      </w:rPr>
    </w:lvl>
    <w:lvl w:ilvl="7" w:tplc="5BC4D046" w:tentative="1">
      <w:start w:val="1"/>
      <w:numFmt w:val="bullet"/>
      <w:lvlText w:val="•"/>
      <w:lvlJc w:val="left"/>
      <w:pPr>
        <w:tabs>
          <w:tab w:val="num" w:pos="5760"/>
        </w:tabs>
        <w:ind w:left="5760" w:hanging="360"/>
      </w:pPr>
      <w:rPr>
        <w:rFonts w:hint="default" w:ascii="Arial" w:hAnsi="Arial"/>
      </w:rPr>
    </w:lvl>
    <w:lvl w:ilvl="8" w:tplc="93FCAF62"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422A18AA"/>
    <w:multiLevelType w:val="hybridMultilevel"/>
    <w:tmpl w:val="ADD43B96"/>
    <w:lvl w:ilvl="0" w:tplc="3D289676">
      <w:start w:val="1"/>
      <w:numFmt w:val="bullet"/>
      <w:lvlText w:val="•"/>
      <w:lvlJc w:val="left"/>
      <w:pPr>
        <w:tabs>
          <w:tab w:val="num" w:pos="720"/>
        </w:tabs>
        <w:ind w:left="720" w:hanging="360"/>
      </w:pPr>
      <w:rPr>
        <w:rFonts w:hint="default" w:ascii="Arial" w:hAnsi="Arial"/>
      </w:rPr>
    </w:lvl>
    <w:lvl w:ilvl="1" w:tplc="BC94160E" w:tentative="1">
      <w:start w:val="1"/>
      <w:numFmt w:val="bullet"/>
      <w:lvlText w:val="•"/>
      <w:lvlJc w:val="left"/>
      <w:pPr>
        <w:tabs>
          <w:tab w:val="num" w:pos="1440"/>
        </w:tabs>
        <w:ind w:left="1440" w:hanging="360"/>
      </w:pPr>
      <w:rPr>
        <w:rFonts w:hint="default" w:ascii="Arial" w:hAnsi="Arial"/>
      </w:rPr>
    </w:lvl>
    <w:lvl w:ilvl="2" w:tplc="920EC61C" w:tentative="1">
      <w:start w:val="1"/>
      <w:numFmt w:val="bullet"/>
      <w:lvlText w:val="•"/>
      <w:lvlJc w:val="left"/>
      <w:pPr>
        <w:tabs>
          <w:tab w:val="num" w:pos="2160"/>
        </w:tabs>
        <w:ind w:left="2160" w:hanging="360"/>
      </w:pPr>
      <w:rPr>
        <w:rFonts w:hint="default" w:ascii="Arial" w:hAnsi="Arial"/>
      </w:rPr>
    </w:lvl>
    <w:lvl w:ilvl="3" w:tplc="A40CEF90" w:tentative="1">
      <w:start w:val="1"/>
      <w:numFmt w:val="bullet"/>
      <w:lvlText w:val="•"/>
      <w:lvlJc w:val="left"/>
      <w:pPr>
        <w:tabs>
          <w:tab w:val="num" w:pos="2880"/>
        </w:tabs>
        <w:ind w:left="2880" w:hanging="360"/>
      </w:pPr>
      <w:rPr>
        <w:rFonts w:hint="default" w:ascii="Arial" w:hAnsi="Arial"/>
      </w:rPr>
    </w:lvl>
    <w:lvl w:ilvl="4" w:tplc="163EBB78" w:tentative="1">
      <w:start w:val="1"/>
      <w:numFmt w:val="bullet"/>
      <w:lvlText w:val="•"/>
      <w:lvlJc w:val="left"/>
      <w:pPr>
        <w:tabs>
          <w:tab w:val="num" w:pos="3600"/>
        </w:tabs>
        <w:ind w:left="3600" w:hanging="360"/>
      </w:pPr>
      <w:rPr>
        <w:rFonts w:hint="default" w:ascii="Arial" w:hAnsi="Arial"/>
      </w:rPr>
    </w:lvl>
    <w:lvl w:ilvl="5" w:tplc="6D78310C" w:tentative="1">
      <w:start w:val="1"/>
      <w:numFmt w:val="bullet"/>
      <w:lvlText w:val="•"/>
      <w:lvlJc w:val="left"/>
      <w:pPr>
        <w:tabs>
          <w:tab w:val="num" w:pos="4320"/>
        </w:tabs>
        <w:ind w:left="4320" w:hanging="360"/>
      </w:pPr>
      <w:rPr>
        <w:rFonts w:hint="default" w:ascii="Arial" w:hAnsi="Arial"/>
      </w:rPr>
    </w:lvl>
    <w:lvl w:ilvl="6" w:tplc="2244F938" w:tentative="1">
      <w:start w:val="1"/>
      <w:numFmt w:val="bullet"/>
      <w:lvlText w:val="•"/>
      <w:lvlJc w:val="left"/>
      <w:pPr>
        <w:tabs>
          <w:tab w:val="num" w:pos="5040"/>
        </w:tabs>
        <w:ind w:left="5040" w:hanging="360"/>
      </w:pPr>
      <w:rPr>
        <w:rFonts w:hint="default" w:ascii="Arial" w:hAnsi="Arial"/>
      </w:rPr>
    </w:lvl>
    <w:lvl w:ilvl="7" w:tplc="7A6AA78A" w:tentative="1">
      <w:start w:val="1"/>
      <w:numFmt w:val="bullet"/>
      <w:lvlText w:val="•"/>
      <w:lvlJc w:val="left"/>
      <w:pPr>
        <w:tabs>
          <w:tab w:val="num" w:pos="5760"/>
        </w:tabs>
        <w:ind w:left="5760" w:hanging="360"/>
      </w:pPr>
      <w:rPr>
        <w:rFonts w:hint="default" w:ascii="Arial" w:hAnsi="Arial"/>
      </w:rPr>
    </w:lvl>
    <w:lvl w:ilvl="8" w:tplc="055E3D50"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78F81582"/>
    <w:multiLevelType w:val="hybridMultilevel"/>
    <w:tmpl w:val="8246166E"/>
    <w:lvl w:ilvl="0" w:tplc="D8C45900">
      <w:start w:val="1"/>
      <w:numFmt w:val="bullet"/>
      <w:lvlText w:val="•"/>
      <w:lvlJc w:val="left"/>
      <w:pPr>
        <w:tabs>
          <w:tab w:val="num" w:pos="720"/>
        </w:tabs>
        <w:ind w:left="720" w:hanging="360"/>
      </w:pPr>
      <w:rPr>
        <w:rFonts w:hint="default" w:ascii="Arial" w:hAnsi="Arial"/>
      </w:rPr>
    </w:lvl>
    <w:lvl w:ilvl="1" w:tplc="AF7E0ADC" w:tentative="1">
      <w:start w:val="1"/>
      <w:numFmt w:val="bullet"/>
      <w:lvlText w:val="•"/>
      <w:lvlJc w:val="left"/>
      <w:pPr>
        <w:tabs>
          <w:tab w:val="num" w:pos="1440"/>
        </w:tabs>
        <w:ind w:left="1440" w:hanging="360"/>
      </w:pPr>
      <w:rPr>
        <w:rFonts w:hint="default" w:ascii="Arial" w:hAnsi="Arial"/>
      </w:rPr>
    </w:lvl>
    <w:lvl w:ilvl="2" w:tplc="E488EDC4" w:tentative="1">
      <w:start w:val="1"/>
      <w:numFmt w:val="bullet"/>
      <w:lvlText w:val="•"/>
      <w:lvlJc w:val="left"/>
      <w:pPr>
        <w:tabs>
          <w:tab w:val="num" w:pos="2160"/>
        </w:tabs>
        <w:ind w:left="2160" w:hanging="360"/>
      </w:pPr>
      <w:rPr>
        <w:rFonts w:hint="default" w:ascii="Arial" w:hAnsi="Arial"/>
      </w:rPr>
    </w:lvl>
    <w:lvl w:ilvl="3" w:tplc="09F8EAB0" w:tentative="1">
      <w:start w:val="1"/>
      <w:numFmt w:val="bullet"/>
      <w:lvlText w:val="•"/>
      <w:lvlJc w:val="left"/>
      <w:pPr>
        <w:tabs>
          <w:tab w:val="num" w:pos="2880"/>
        </w:tabs>
        <w:ind w:left="2880" w:hanging="360"/>
      </w:pPr>
      <w:rPr>
        <w:rFonts w:hint="default" w:ascii="Arial" w:hAnsi="Arial"/>
      </w:rPr>
    </w:lvl>
    <w:lvl w:ilvl="4" w:tplc="E0AA962A" w:tentative="1">
      <w:start w:val="1"/>
      <w:numFmt w:val="bullet"/>
      <w:lvlText w:val="•"/>
      <w:lvlJc w:val="left"/>
      <w:pPr>
        <w:tabs>
          <w:tab w:val="num" w:pos="3600"/>
        </w:tabs>
        <w:ind w:left="3600" w:hanging="360"/>
      </w:pPr>
      <w:rPr>
        <w:rFonts w:hint="default" w:ascii="Arial" w:hAnsi="Arial"/>
      </w:rPr>
    </w:lvl>
    <w:lvl w:ilvl="5" w:tplc="41B2A8D6" w:tentative="1">
      <w:start w:val="1"/>
      <w:numFmt w:val="bullet"/>
      <w:lvlText w:val="•"/>
      <w:lvlJc w:val="left"/>
      <w:pPr>
        <w:tabs>
          <w:tab w:val="num" w:pos="4320"/>
        </w:tabs>
        <w:ind w:left="4320" w:hanging="360"/>
      </w:pPr>
      <w:rPr>
        <w:rFonts w:hint="default" w:ascii="Arial" w:hAnsi="Arial"/>
      </w:rPr>
    </w:lvl>
    <w:lvl w:ilvl="6" w:tplc="8A5A171A" w:tentative="1">
      <w:start w:val="1"/>
      <w:numFmt w:val="bullet"/>
      <w:lvlText w:val="•"/>
      <w:lvlJc w:val="left"/>
      <w:pPr>
        <w:tabs>
          <w:tab w:val="num" w:pos="5040"/>
        </w:tabs>
        <w:ind w:left="5040" w:hanging="360"/>
      </w:pPr>
      <w:rPr>
        <w:rFonts w:hint="default" w:ascii="Arial" w:hAnsi="Arial"/>
      </w:rPr>
    </w:lvl>
    <w:lvl w:ilvl="7" w:tplc="94A4F086" w:tentative="1">
      <w:start w:val="1"/>
      <w:numFmt w:val="bullet"/>
      <w:lvlText w:val="•"/>
      <w:lvlJc w:val="left"/>
      <w:pPr>
        <w:tabs>
          <w:tab w:val="num" w:pos="5760"/>
        </w:tabs>
        <w:ind w:left="5760" w:hanging="360"/>
      </w:pPr>
      <w:rPr>
        <w:rFonts w:hint="default" w:ascii="Arial" w:hAnsi="Arial"/>
      </w:rPr>
    </w:lvl>
    <w:lvl w:ilvl="8" w:tplc="091CE64A"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7F355B43"/>
    <w:multiLevelType w:val="hybridMultilevel"/>
    <w:tmpl w:val="AB1600B4"/>
    <w:lvl w:ilvl="0" w:tplc="3E0EF622">
      <w:start w:val="1"/>
      <w:numFmt w:val="bullet"/>
      <w:lvlText w:val="•"/>
      <w:lvlJc w:val="left"/>
      <w:pPr>
        <w:tabs>
          <w:tab w:val="num" w:pos="720"/>
        </w:tabs>
        <w:ind w:left="720" w:hanging="360"/>
      </w:pPr>
      <w:rPr>
        <w:rFonts w:hint="default" w:ascii="Arial" w:hAnsi="Arial"/>
      </w:rPr>
    </w:lvl>
    <w:lvl w:ilvl="1" w:tplc="28746B9A" w:tentative="1">
      <w:start w:val="1"/>
      <w:numFmt w:val="bullet"/>
      <w:lvlText w:val="•"/>
      <w:lvlJc w:val="left"/>
      <w:pPr>
        <w:tabs>
          <w:tab w:val="num" w:pos="1440"/>
        </w:tabs>
        <w:ind w:left="1440" w:hanging="360"/>
      </w:pPr>
      <w:rPr>
        <w:rFonts w:hint="default" w:ascii="Arial" w:hAnsi="Arial"/>
      </w:rPr>
    </w:lvl>
    <w:lvl w:ilvl="2" w:tplc="5C768AEA" w:tentative="1">
      <w:start w:val="1"/>
      <w:numFmt w:val="bullet"/>
      <w:lvlText w:val="•"/>
      <w:lvlJc w:val="left"/>
      <w:pPr>
        <w:tabs>
          <w:tab w:val="num" w:pos="2160"/>
        </w:tabs>
        <w:ind w:left="2160" w:hanging="360"/>
      </w:pPr>
      <w:rPr>
        <w:rFonts w:hint="default" w:ascii="Arial" w:hAnsi="Arial"/>
      </w:rPr>
    </w:lvl>
    <w:lvl w:ilvl="3" w:tplc="D534D30E" w:tentative="1">
      <w:start w:val="1"/>
      <w:numFmt w:val="bullet"/>
      <w:lvlText w:val="•"/>
      <w:lvlJc w:val="left"/>
      <w:pPr>
        <w:tabs>
          <w:tab w:val="num" w:pos="2880"/>
        </w:tabs>
        <w:ind w:left="2880" w:hanging="360"/>
      </w:pPr>
      <w:rPr>
        <w:rFonts w:hint="default" w:ascii="Arial" w:hAnsi="Arial"/>
      </w:rPr>
    </w:lvl>
    <w:lvl w:ilvl="4" w:tplc="820EB826" w:tentative="1">
      <w:start w:val="1"/>
      <w:numFmt w:val="bullet"/>
      <w:lvlText w:val="•"/>
      <w:lvlJc w:val="left"/>
      <w:pPr>
        <w:tabs>
          <w:tab w:val="num" w:pos="3600"/>
        </w:tabs>
        <w:ind w:left="3600" w:hanging="360"/>
      </w:pPr>
      <w:rPr>
        <w:rFonts w:hint="default" w:ascii="Arial" w:hAnsi="Arial"/>
      </w:rPr>
    </w:lvl>
    <w:lvl w:ilvl="5" w:tplc="2E2A6B1E" w:tentative="1">
      <w:start w:val="1"/>
      <w:numFmt w:val="bullet"/>
      <w:lvlText w:val="•"/>
      <w:lvlJc w:val="left"/>
      <w:pPr>
        <w:tabs>
          <w:tab w:val="num" w:pos="4320"/>
        </w:tabs>
        <w:ind w:left="4320" w:hanging="360"/>
      </w:pPr>
      <w:rPr>
        <w:rFonts w:hint="default" w:ascii="Arial" w:hAnsi="Arial"/>
      </w:rPr>
    </w:lvl>
    <w:lvl w:ilvl="6" w:tplc="C226B6BA" w:tentative="1">
      <w:start w:val="1"/>
      <w:numFmt w:val="bullet"/>
      <w:lvlText w:val="•"/>
      <w:lvlJc w:val="left"/>
      <w:pPr>
        <w:tabs>
          <w:tab w:val="num" w:pos="5040"/>
        </w:tabs>
        <w:ind w:left="5040" w:hanging="360"/>
      </w:pPr>
      <w:rPr>
        <w:rFonts w:hint="default" w:ascii="Arial" w:hAnsi="Arial"/>
      </w:rPr>
    </w:lvl>
    <w:lvl w:ilvl="7" w:tplc="8A02CE36" w:tentative="1">
      <w:start w:val="1"/>
      <w:numFmt w:val="bullet"/>
      <w:lvlText w:val="•"/>
      <w:lvlJc w:val="left"/>
      <w:pPr>
        <w:tabs>
          <w:tab w:val="num" w:pos="5760"/>
        </w:tabs>
        <w:ind w:left="5760" w:hanging="360"/>
      </w:pPr>
      <w:rPr>
        <w:rFonts w:hint="default" w:ascii="Arial" w:hAnsi="Arial"/>
      </w:rPr>
    </w:lvl>
    <w:lvl w:ilvl="8" w:tplc="89F2AF7A" w:tentative="1">
      <w:start w:val="1"/>
      <w:numFmt w:val="bullet"/>
      <w:lvlText w:val="•"/>
      <w:lvlJc w:val="left"/>
      <w:pPr>
        <w:tabs>
          <w:tab w:val="num" w:pos="6480"/>
        </w:tabs>
        <w:ind w:left="6480" w:hanging="360"/>
      </w:pPr>
      <w:rPr>
        <w:rFonts w:hint="default" w:ascii="Arial" w:hAnsi="Arial"/>
      </w:rPr>
    </w:lvl>
  </w:abstractNum>
  <w:num w:numId="1" w16cid:durableId="666907311">
    <w:abstractNumId w:val="4"/>
  </w:num>
  <w:num w:numId="2" w16cid:durableId="928466057">
    <w:abstractNumId w:val="2"/>
  </w:num>
  <w:num w:numId="3" w16cid:durableId="227039375">
    <w:abstractNumId w:val="0"/>
  </w:num>
  <w:num w:numId="4" w16cid:durableId="910776943">
    <w:abstractNumId w:val="3"/>
  </w:num>
  <w:num w:numId="5" w16cid:durableId="152209032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1F0"/>
    <w:rsid w:val="000057D9"/>
    <w:rsid w:val="003C36D9"/>
    <w:rsid w:val="005C3888"/>
    <w:rsid w:val="00916686"/>
    <w:rsid w:val="009D2ED3"/>
    <w:rsid w:val="009F61F0"/>
    <w:rsid w:val="00B22934"/>
    <w:rsid w:val="1C5FB4BE"/>
    <w:rsid w:val="6D608A88"/>
    <w:rsid w:val="718D2E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5C18"/>
  <w15:chartTrackingRefBased/>
  <w15:docId w15:val="{CC19EE9D-3112-4CDE-BB4F-498A47D62A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F61F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1F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1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1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1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1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1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1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1F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F61F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F61F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F61F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F61F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F61F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F61F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F61F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F61F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F61F0"/>
    <w:rPr>
      <w:rFonts w:eastAsiaTheme="majorEastAsia" w:cstheme="majorBidi"/>
      <w:color w:val="272727" w:themeColor="text1" w:themeTint="D8"/>
    </w:rPr>
  </w:style>
  <w:style w:type="paragraph" w:styleId="Title">
    <w:name w:val="Title"/>
    <w:basedOn w:val="Normal"/>
    <w:next w:val="Normal"/>
    <w:link w:val="TitleChar"/>
    <w:uiPriority w:val="10"/>
    <w:qFormat/>
    <w:rsid w:val="009F61F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F61F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F61F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F61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1F0"/>
    <w:pPr>
      <w:spacing w:before="160"/>
      <w:jc w:val="center"/>
    </w:pPr>
    <w:rPr>
      <w:i/>
      <w:iCs/>
      <w:color w:val="404040" w:themeColor="text1" w:themeTint="BF"/>
    </w:rPr>
  </w:style>
  <w:style w:type="character" w:styleId="QuoteChar" w:customStyle="1">
    <w:name w:val="Quote Char"/>
    <w:basedOn w:val="DefaultParagraphFont"/>
    <w:link w:val="Quote"/>
    <w:uiPriority w:val="29"/>
    <w:rsid w:val="009F61F0"/>
    <w:rPr>
      <w:i/>
      <w:iCs/>
      <w:color w:val="404040" w:themeColor="text1" w:themeTint="BF"/>
    </w:rPr>
  </w:style>
  <w:style w:type="paragraph" w:styleId="ListParagraph">
    <w:name w:val="List Paragraph"/>
    <w:basedOn w:val="Normal"/>
    <w:uiPriority w:val="34"/>
    <w:qFormat/>
    <w:rsid w:val="009F61F0"/>
    <w:pPr>
      <w:ind w:left="720"/>
      <w:contextualSpacing/>
    </w:pPr>
  </w:style>
  <w:style w:type="character" w:styleId="IntenseEmphasis">
    <w:name w:val="Intense Emphasis"/>
    <w:basedOn w:val="DefaultParagraphFont"/>
    <w:uiPriority w:val="21"/>
    <w:qFormat/>
    <w:rsid w:val="009F61F0"/>
    <w:rPr>
      <w:i/>
      <w:iCs/>
      <w:color w:val="0F4761" w:themeColor="accent1" w:themeShade="BF"/>
    </w:rPr>
  </w:style>
  <w:style w:type="paragraph" w:styleId="IntenseQuote">
    <w:name w:val="Intense Quote"/>
    <w:basedOn w:val="Normal"/>
    <w:next w:val="Normal"/>
    <w:link w:val="IntenseQuoteChar"/>
    <w:uiPriority w:val="30"/>
    <w:qFormat/>
    <w:rsid w:val="009F61F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F61F0"/>
    <w:rPr>
      <w:i/>
      <w:iCs/>
      <w:color w:val="0F4761" w:themeColor="accent1" w:themeShade="BF"/>
    </w:rPr>
  </w:style>
  <w:style w:type="character" w:styleId="IntenseReference">
    <w:name w:val="Intense Reference"/>
    <w:basedOn w:val="DefaultParagraphFont"/>
    <w:uiPriority w:val="32"/>
    <w:qFormat/>
    <w:rsid w:val="009F61F0"/>
    <w:rPr>
      <w:b/>
      <w:bCs/>
      <w:smallCaps/>
      <w:color w:val="0F4761" w:themeColor="accent1" w:themeShade="BF"/>
      <w:spacing w:val="5"/>
    </w:rPr>
  </w:style>
  <w:style w:type="paragraph" w:styleId="NormalWeb">
    <w:name w:val="Normal (Web)"/>
    <w:basedOn w:val="Normal"/>
    <w:uiPriority w:val="99"/>
    <w:semiHidden/>
    <w:unhideWhenUsed/>
    <w:rsid w:val="009F61F0"/>
    <w:pPr>
      <w:spacing w:before="100" w:beforeAutospacing="1" w:after="100" w:afterAutospacing="1" w:line="240" w:lineRule="auto"/>
    </w:pPr>
    <w:rPr>
      <w:rFonts w:ascii="Times New Roman" w:hAnsi="Times New Roman" w:eastAsia="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85417">
      <w:bodyDiv w:val="1"/>
      <w:marLeft w:val="0"/>
      <w:marRight w:val="0"/>
      <w:marTop w:val="0"/>
      <w:marBottom w:val="0"/>
      <w:divBdr>
        <w:top w:val="none" w:sz="0" w:space="0" w:color="auto"/>
        <w:left w:val="none" w:sz="0" w:space="0" w:color="auto"/>
        <w:bottom w:val="none" w:sz="0" w:space="0" w:color="auto"/>
        <w:right w:val="none" w:sz="0" w:space="0" w:color="auto"/>
      </w:divBdr>
      <w:divsChild>
        <w:div w:id="1752659644">
          <w:marLeft w:val="907"/>
          <w:marRight w:val="0"/>
          <w:marTop w:val="0"/>
          <w:marBottom w:val="0"/>
          <w:divBdr>
            <w:top w:val="none" w:sz="0" w:space="0" w:color="auto"/>
            <w:left w:val="none" w:sz="0" w:space="0" w:color="auto"/>
            <w:bottom w:val="none" w:sz="0" w:space="0" w:color="auto"/>
            <w:right w:val="none" w:sz="0" w:space="0" w:color="auto"/>
          </w:divBdr>
        </w:div>
        <w:div w:id="392823978">
          <w:marLeft w:val="907"/>
          <w:marRight w:val="0"/>
          <w:marTop w:val="0"/>
          <w:marBottom w:val="0"/>
          <w:divBdr>
            <w:top w:val="none" w:sz="0" w:space="0" w:color="auto"/>
            <w:left w:val="none" w:sz="0" w:space="0" w:color="auto"/>
            <w:bottom w:val="none" w:sz="0" w:space="0" w:color="auto"/>
            <w:right w:val="none" w:sz="0" w:space="0" w:color="auto"/>
          </w:divBdr>
        </w:div>
      </w:divsChild>
    </w:div>
    <w:div w:id="125323082">
      <w:bodyDiv w:val="1"/>
      <w:marLeft w:val="0"/>
      <w:marRight w:val="0"/>
      <w:marTop w:val="0"/>
      <w:marBottom w:val="0"/>
      <w:divBdr>
        <w:top w:val="none" w:sz="0" w:space="0" w:color="auto"/>
        <w:left w:val="none" w:sz="0" w:space="0" w:color="auto"/>
        <w:bottom w:val="none" w:sz="0" w:space="0" w:color="auto"/>
        <w:right w:val="none" w:sz="0" w:space="0" w:color="auto"/>
      </w:divBdr>
    </w:div>
    <w:div w:id="279380806">
      <w:bodyDiv w:val="1"/>
      <w:marLeft w:val="0"/>
      <w:marRight w:val="0"/>
      <w:marTop w:val="0"/>
      <w:marBottom w:val="0"/>
      <w:divBdr>
        <w:top w:val="none" w:sz="0" w:space="0" w:color="auto"/>
        <w:left w:val="none" w:sz="0" w:space="0" w:color="auto"/>
        <w:bottom w:val="none" w:sz="0" w:space="0" w:color="auto"/>
        <w:right w:val="none" w:sz="0" w:space="0" w:color="auto"/>
      </w:divBdr>
      <w:divsChild>
        <w:div w:id="321397534">
          <w:marLeft w:val="907"/>
          <w:marRight w:val="0"/>
          <w:marTop w:val="0"/>
          <w:marBottom w:val="0"/>
          <w:divBdr>
            <w:top w:val="none" w:sz="0" w:space="0" w:color="auto"/>
            <w:left w:val="none" w:sz="0" w:space="0" w:color="auto"/>
            <w:bottom w:val="none" w:sz="0" w:space="0" w:color="auto"/>
            <w:right w:val="none" w:sz="0" w:space="0" w:color="auto"/>
          </w:divBdr>
        </w:div>
        <w:div w:id="1469007698">
          <w:marLeft w:val="907"/>
          <w:marRight w:val="0"/>
          <w:marTop w:val="0"/>
          <w:marBottom w:val="0"/>
          <w:divBdr>
            <w:top w:val="none" w:sz="0" w:space="0" w:color="auto"/>
            <w:left w:val="none" w:sz="0" w:space="0" w:color="auto"/>
            <w:bottom w:val="none" w:sz="0" w:space="0" w:color="auto"/>
            <w:right w:val="none" w:sz="0" w:space="0" w:color="auto"/>
          </w:divBdr>
        </w:div>
        <w:div w:id="438528524">
          <w:marLeft w:val="907"/>
          <w:marRight w:val="0"/>
          <w:marTop w:val="0"/>
          <w:marBottom w:val="0"/>
          <w:divBdr>
            <w:top w:val="none" w:sz="0" w:space="0" w:color="auto"/>
            <w:left w:val="none" w:sz="0" w:space="0" w:color="auto"/>
            <w:bottom w:val="none" w:sz="0" w:space="0" w:color="auto"/>
            <w:right w:val="none" w:sz="0" w:space="0" w:color="auto"/>
          </w:divBdr>
        </w:div>
        <w:div w:id="1537817498">
          <w:marLeft w:val="907"/>
          <w:marRight w:val="0"/>
          <w:marTop w:val="0"/>
          <w:marBottom w:val="0"/>
          <w:divBdr>
            <w:top w:val="none" w:sz="0" w:space="0" w:color="auto"/>
            <w:left w:val="none" w:sz="0" w:space="0" w:color="auto"/>
            <w:bottom w:val="none" w:sz="0" w:space="0" w:color="auto"/>
            <w:right w:val="none" w:sz="0" w:space="0" w:color="auto"/>
          </w:divBdr>
        </w:div>
        <w:div w:id="664741871">
          <w:marLeft w:val="907"/>
          <w:marRight w:val="0"/>
          <w:marTop w:val="0"/>
          <w:marBottom w:val="0"/>
          <w:divBdr>
            <w:top w:val="none" w:sz="0" w:space="0" w:color="auto"/>
            <w:left w:val="none" w:sz="0" w:space="0" w:color="auto"/>
            <w:bottom w:val="none" w:sz="0" w:space="0" w:color="auto"/>
            <w:right w:val="none" w:sz="0" w:space="0" w:color="auto"/>
          </w:divBdr>
        </w:div>
        <w:div w:id="1465780662">
          <w:marLeft w:val="907"/>
          <w:marRight w:val="0"/>
          <w:marTop w:val="0"/>
          <w:marBottom w:val="0"/>
          <w:divBdr>
            <w:top w:val="none" w:sz="0" w:space="0" w:color="auto"/>
            <w:left w:val="none" w:sz="0" w:space="0" w:color="auto"/>
            <w:bottom w:val="none" w:sz="0" w:space="0" w:color="auto"/>
            <w:right w:val="none" w:sz="0" w:space="0" w:color="auto"/>
          </w:divBdr>
        </w:div>
      </w:divsChild>
    </w:div>
    <w:div w:id="432171213">
      <w:bodyDiv w:val="1"/>
      <w:marLeft w:val="0"/>
      <w:marRight w:val="0"/>
      <w:marTop w:val="0"/>
      <w:marBottom w:val="0"/>
      <w:divBdr>
        <w:top w:val="none" w:sz="0" w:space="0" w:color="auto"/>
        <w:left w:val="none" w:sz="0" w:space="0" w:color="auto"/>
        <w:bottom w:val="none" w:sz="0" w:space="0" w:color="auto"/>
        <w:right w:val="none" w:sz="0" w:space="0" w:color="auto"/>
      </w:divBdr>
    </w:div>
    <w:div w:id="635988147">
      <w:bodyDiv w:val="1"/>
      <w:marLeft w:val="0"/>
      <w:marRight w:val="0"/>
      <w:marTop w:val="0"/>
      <w:marBottom w:val="0"/>
      <w:divBdr>
        <w:top w:val="none" w:sz="0" w:space="0" w:color="auto"/>
        <w:left w:val="none" w:sz="0" w:space="0" w:color="auto"/>
        <w:bottom w:val="none" w:sz="0" w:space="0" w:color="auto"/>
        <w:right w:val="none" w:sz="0" w:space="0" w:color="auto"/>
      </w:divBdr>
    </w:div>
    <w:div w:id="746270956">
      <w:bodyDiv w:val="1"/>
      <w:marLeft w:val="0"/>
      <w:marRight w:val="0"/>
      <w:marTop w:val="0"/>
      <w:marBottom w:val="0"/>
      <w:divBdr>
        <w:top w:val="none" w:sz="0" w:space="0" w:color="auto"/>
        <w:left w:val="none" w:sz="0" w:space="0" w:color="auto"/>
        <w:bottom w:val="none" w:sz="0" w:space="0" w:color="auto"/>
        <w:right w:val="none" w:sz="0" w:space="0" w:color="auto"/>
      </w:divBdr>
    </w:div>
    <w:div w:id="765465653">
      <w:bodyDiv w:val="1"/>
      <w:marLeft w:val="0"/>
      <w:marRight w:val="0"/>
      <w:marTop w:val="0"/>
      <w:marBottom w:val="0"/>
      <w:divBdr>
        <w:top w:val="none" w:sz="0" w:space="0" w:color="auto"/>
        <w:left w:val="none" w:sz="0" w:space="0" w:color="auto"/>
        <w:bottom w:val="none" w:sz="0" w:space="0" w:color="auto"/>
        <w:right w:val="none" w:sz="0" w:space="0" w:color="auto"/>
      </w:divBdr>
    </w:div>
    <w:div w:id="813987684">
      <w:bodyDiv w:val="1"/>
      <w:marLeft w:val="0"/>
      <w:marRight w:val="0"/>
      <w:marTop w:val="0"/>
      <w:marBottom w:val="0"/>
      <w:divBdr>
        <w:top w:val="none" w:sz="0" w:space="0" w:color="auto"/>
        <w:left w:val="none" w:sz="0" w:space="0" w:color="auto"/>
        <w:bottom w:val="none" w:sz="0" w:space="0" w:color="auto"/>
        <w:right w:val="none" w:sz="0" w:space="0" w:color="auto"/>
      </w:divBdr>
      <w:divsChild>
        <w:div w:id="130174042">
          <w:marLeft w:val="907"/>
          <w:marRight w:val="0"/>
          <w:marTop w:val="0"/>
          <w:marBottom w:val="0"/>
          <w:divBdr>
            <w:top w:val="none" w:sz="0" w:space="0" w:color="auto"/>
            <w:left w:val="none" w:sz="0" w:space="0" w:color="auto"/>
            <w:bottom w:val="none" w:sz="0" w:space="0" w:color="auto"/>
            <w:right w:val="none" w:sz="0" w:space="0" w:color="auto"/>
          </w:divBdr>
        </w:div>
        <w:div w:id="479200983">
          <w:marLeft w:val="907"/>
          <w:marRight w:val="0"/>
          <w:marTop w:val="0"/>
          <w:marBottom w:val="0"/>
          <w:divBdr>
            <w:top w:val="none" w:sz="0" w:space="0" w:color="auto"/>
            <w:left w:val="none" w:sz="0" w:space="0" w:color="auto"/>
            <w:bottom w:val="none" w:sz="0" w:space="0" w:color="auto"/>
            <w:right w:val="none" w:sz="0" w:space="0" w:color="auto"/>
          </w:divBdr>
        </w:div>
        <w:div w:id="1688406939">
          <w:marLeft w:val="907"/>
          <w:marRight w:val="0"/>
          <w:marTop w:val="0"/>
          <w:marBottom w:val="0"/>
          <w:divBdr>
            <w:top w:val="none" w:sz="0" w:space="0" w:color="auto"/>
            <w:left w:val="none" w:sz="0" w:space="0" w:color="auto"/>
            <w:bottom w:val="none" w:sz="0" w:space="0" w:color="auto"/>
            <w:right w:val="none" w:sz="0" w:space="0" w:color="auto"/>
          </w:divBdr>
        </w:div>
        <w:div w:id="694886957">
          <w:marLeft w:val="907"/>
          <w:marRight w:val="0"/>
          <w:marTop w:val="0"/>
          <w:marBottom w:val="0"/>
          <w:divBdr>
            <w:top w:val="none" w:sz="0" w:space="0" w:color="auto"/>
            <w:left w:val="none" w:sz="0" w:space="0" w:color="auto"/>
            <w:bottom w:val="none" w:sz="0" w:space="0" w:color="auto"/>
            <w:right w:val="none" w:sz="0" w:space="0" w:color="auto"/>
          </w:divBdr>
        </w:div>
        <w:div w:id="1566450168">
          <w:marLeft w:val="907"/>
          <w:marRight w:val="0"/>
          <w:marTop w:val="0"/>
          <w:marBottom w:val="0"/>
          <w:divBdr>
            <w:top w:val="none" w:sz="0" w:space="0" w:color="auto"/>
            <w:left w:val="none" w:sz="0" w:space="0" w:color="auto"/>
            <w:bottom w:val="none" w:sz="0" w:space="0" w:color="auto"/>
            <w:right w:val="none" w:sz="0" w:space="0" w:color="auto"/>
          </w:divBdr>
        </w:div>
        <w:div w:id="1351755775">
          <w:marLeft w:val="907"/>
          <w:marRight w:val="0"/>
          <w:marTop w:val="0"/>
          <w:marBottom w:val="0"/>
          <w:divBdr>
            <w:top w:val="none" w:sz="0" w:space="0" w:color="auto"/>
            <w:left w:val="none" w:sz="0" w:space="0" w:color="auto"/>
            <w:bottom w:val="none" w:sz="0" w:space="0" w:color="auto"/>
            <w:right w:val="none" w:sz="0" w:space="0" w:color="auto"/>
          </w:divBdr>
        </w:div>
        <w:div w:id="2096440103">
          <w:marLeft w:val="907"/>
          <w:marRight w:val="0"/>
          <w:marTop w:val="0"/>
          <w:marBottom w:val="0"/>
          <w:divBdr>
            <w:top w:val="none" w:sz="0" w:space="0" w:color="auto"/>
            <w:left w:val="none" w:sz="0" w:space="0" w:color="auto"/>
            <w:bottom w:val="none" w:sz="0" w:space="0" w:color="auto"/>
            <w:right w:val="none" w:sz="0" w:space="0" w:color="auto"/>
          </w:divBdr>
        </w:div>
      </w:divsChild>
    </w:div>
    <w:div w:id="820388346">
      <w:bodyDiv w:val="1"/>
      <w:marLeft w:val="0"/>
      <w:marRight w:val="0"/>
      <w:marTop w:val="0"/>
      <w:marBottom w:val="0"/>
      <w:divBdr>
        <w:top w:val="none" w:sz="0" w:space="0" w:color="auto"/>
        <w:left w:val="none" w:sz="0" w:space="0" w:color="auto"/>
        <w:bottom w:val="none" w:sz="0" w:space="0" w:color="auto"/>
        <w:right w:val="none" w:sz="0" w:space="0" w:color="auto"/>
      </w:divBdr>
    </w:div>
    <w:div w:id="839084738">
      <w:bodyDiv w:val="1"/>
      <w:marLeft w:val="0"/>
      <w:marRight w:val="0"/>
      <w:marTop w:val="0"/>
      <w:marBottom w:val="0"/>
      <w:divBdr>
        <w:top w:val="none" w:sz="0" w:space="0" w:color="auto"/>
        <w:left w:val="none" w:sz="0" w:space="0" w:color="auto"/>
        <w:bottom w:val="none" w:sz="0" w:space="0" w:color="auto"/>
        <w:right w:val="none" w:sz="0" w:space="0" w:color="auto"/>
      </w:divBdr>
      <w:divsChild>
        <w:div w:id="721250227">
          <w:marLeft w:val="907"/>
          <w:marRight w:val="0"/>
          <w:marTop w:val="0"/>
          <w:marBottom w:val="0"/>
          <w:divBdr>
            <w:top w:val="none" w:sz="0" w:space="0" w:color="auto"/>
            <w:left w:val="none" w:sz="0" w:space="0" w:color="auto"/>
            <w:bottom w:val="none" w:sz="0" w:space="0" w:color="auto"/>
            <w:right w:val="none" w:sz="0" w:space="0" w:color="auto"/>
          </w:divBdr>
        </w:div>
        <w:div w:id="2031295578">
          <w:marLeft w:val="907"/>
          <w:marRight w:val="0"/>
          <w:marTop w:val="0"/>
          <w:marBottom w:val="0"/>
          <w:divBdr>
            <w:top w:val="none" w:sz="0" w:space="0" w:color="auto"/>
            <w:left w:val="none" w:sz="0" w:space="0" w:color="auto"/>
            <w:bottom w:val="none" w:sz="0" w:space="0" w:color="auto"/>
            <w:right w:val="none" w:sz="0" w:space="0" w:color="auto"/>
          </w:divBdr>
        </w:div>
        <w:div w:id="550191906">
          <w:marLeft w:val="907"/>
          <w:marRight w:val="0"/>
          <w:marTop w:val="0"/>
          <w:marBottom w:val="0"/>
          <w:divBdr>
            <w:top w:val="none" w:sz="0" w:space="0" w:color="auto"/>
            <w:left w:val="none" w:sz="0" w:space="0" w:color="auto"/>
            <w:bottom w:val="none" w:sz="0" w:space="0" w:color="auto"/>
            <w:right w:val="none" w:sz="0" w:space="0" w:color="auto"/>
          </w:divBdr>
        </w:div>
        <w:div w:id="355738381">
          <w:marLeft w:val="907"/>
          <w:marRight w:val="0"/>
          <w:marTop w:val="0"/>
          <w:marBottom w:val="0"/>
          <w:divBdr>
            <w:top w:val="none" w:sz="0" w:space="0" w:color="auto"/>
            <w:left w:val="none" w:sz="0" w:space="0" w:color="auto"/>
            <w:bottom w:val="none" w:sz="0" w:space="0" w:color="auto"/>
            <w:right w:val="none" w:sz="0" w:space="0" w:color="auto"/>
          </w:divBdr>
        </w:div>
      </w:divsChild>
    </w:div>
    <w:div w:id="1058437124">
      <w:bodyDiv w:val="1"/>
      <w:marLeft w:val="0"/>
      <w:marRight w:val="0"/>
      <w:marTop w:val="0"/>
      <w:marBottom w:val="0"/>
      <w:divBdr>
        <w:top w:val="none" w:sz="0" w:space="0" w:color="auto"/>
        <w:left w:val="none" w:sz="0" w:space="0" w:color="auto"/>
        <w:bottom w:val="none" w:sz="0" w:space="0" w:color="auto"/>
        <w:right w:val="none" w:sz="0" w:space="0" w:color="auto"/>
      </w:divBdr>
    </w:div>
    <w:div w:id="1073040049">
      <w:bodyDiv w:val="1"/>
      <w:marLeft w:val="0"/>
      <w:marRight w:val="0"/>
      <w:marTop w:val="0"/>
      <w:marBottom w:val="0"/>
      <w:divBdr>
        <w:top w:val="none" w:sz="0" w:space="0" w:color="auto"/>
        <w:left w:val="none" w:sz="0" w:space="0" w:color="auto"/>
        <w:bottom w:val="none" w:sz="0" w:space="0" w:color="auto"/>
        <w:right w:val="none" w:sz="0" w:space="0" w:color="auto"/>
      </w:divBdr>
    </w:div>
    <w:div w:id="1631474573">
      <w:bodyDiv w:val="1"/>
      <w:marLeft w:val="0"/>
      <w:marRight w:val="0"/>
      <w:marTop w:val="0"/>
      <w:marBottom w:val="0"/>
      <w:divBdr>
        <w:top w:val="none" w:sz="0" w:space="0" w:color="auto"/>
        <w:left w:val="none" w:sz="0" w:space="0" w:color="auto"/>
        <w:bottom w:val="none" w:sz="0" w:space="0" w:color="auto"/>
        <w:right w:val="none" w:sz="0" w:space="0" w:color="auto"/>
      </w:divBdr>
    </w:div>
    <w:div w:id="205288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microsoft.com/office/2014/relationships/chartEx" Target="charts/chartEx1.xml" Id="rId6" /><Relationship Type="http://schemas.openxmlformats.org/officeDocument/2006/relationships/customXml" Target="../customXml/item1.xml" Id="rId15" /><Relationship Type="http://schemas.openxmlformats.org/officeDocument/2006/relationships/webSettings" Target="webSettings.xml" Id="rId4" /><Relationship Type="http://schemas.microsoft.com/office/2014/relationships/chartEx" Target="charts/chartEx2.xml" Id="rId9" /><Relationship Type="http://schemas.openxmlformats.org/officeDocument/2006/relationships/theme" Target="theme/theme1.xml" Id="rId14" /></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1"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Book1"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Sheet1!$B$6:$E$6</cx:f>
        <cx:lvl ptCount="4" formatCode="General">
          <cx:pt idx="0">75</cx:pt>
          <cx:pt idx="1">77</cx:pt>
          <cx:pt idx="2">68</cx:pt>
          <cx:pt idx="3">84</cx:pt>
        </cx:lvl>
      </cx:numDim>
    </cx:data>
    <cx:data id="1">
      <cx:numDim type="val">
        <cx:f>Sheet1!$B$7:$E$7</cx:f>
        <cx:lvl ptCount="4" formatCode="General">
          <cx:pt idx="0">60</cx:pt>
          <cx:pt idx="1">63</cx:pt>
          <cx:pt idx="2">46</cx:pt>
          <cx:pt idx="3">75</cx:pt>
        </cx:lvl>
      </cx:numDim>
    </cx:data>
  </cx:chartData>
  <cx:chart>
    <cx:title pos="t" align="ctr" overlay="0">
      <cx:tx>
        <cx:rich>
          <a:bodyPr spcFirstLastPara="1" vertOverflow="ellipsis" horzOverflow="overflow" wrap="square" lIns="0" tIns="0" rIns="0" bIns="0" anchor="ctr" anchorCtr="1"/>
          <a:lstStyle/>
          <a:p>
            <a:pPr algn="ctr" rtl="0">
              <a:defRPr sz="3200" baseline="0">
                <a:latin typeface="Calibri" panose="020F0502020204030204" pitchFamily="34" charset="0"/>
              </a:defRPr>
            </a:pPr>
            <a:r>
              <a:rPr lang="en-US" sz="1200" b="1" i="0" u="none" strike="noStrike" baseline="0" dirty="0">
                <a:solidFill>
                  <a:sysClr val="windowText" lastClr="000000">
                    <a:lumMod val="65000"/>
                    <a:lumOff val="35000"/>
                  </a:sysClr>
                </a:solidFill>
                <a:latin typeface="Calibri" panose="020F0502020204030204" pitchFamily="34" charset="0"/>
              </a:rPr>
              <a:t>Fig 1a: </a:t>
            </a:r>
            <a:r>
              <a:rPr lang="en-US" sz="1200" b="0" i="0" u="none" strike="noStrike" baseline="0" dirty="0">
                <a:solidFill>
                  <a:sysClr val="windowText" lastClr="000000">
                    <a:lumMod val="65000"/>
                    <a:lumOff val="35000"/>
                  </a:sysClr>
                </a:solidFill>
                <a:latin typeface="Calibri" panose="020F0502020204030204" pitchFamily="34" charset="0"/>
              </a:rPr>
              <a:t>Age Differences by Referral Status</a:t>
            </a:r>
          </a:p>
        </cx:rich>
      </cx:tx>
    </cx:title>
    <cx:plotArea>
      <cx:plotAreaRegion>
        <cx:series layoutId="boxWhisker" uniqueId="{544DB341-0ED1-4064-9BED-B8C2246D4E6F}">
          <cx:tx>
            <cx:txData>
              <cx:f>Sheet1!$A$6</cx:f>
              <cx:v>Referred to Physiotherapy</cx:v>
            </cx:txData>
          </cx:tx>
          <cx:dataId val="0"/>
          <cx:layoutPr>
            <cx:visibility meanLine="0" meanMarker="1" nonoutliers="0" outliers="1"/>
            <cx:statistics quartileMethod="exclusive"/>
          </cx:layoutPr>
        </cx:series>
        <cx:series layoutId="boxWhisker" uniqueId="{12B620F3-281F-46A4-83C5-7A252E374142}">
          <cx:tx>
            <cx:txData>
              <cx:f>Sheet1!$A$7</cx:f>
              <cx:v>Not Referred</cx:v>
            </cx:txData>
          </cx:tx>
          <cx:spPr>
            <a:solidFill>
              <a:srgbClr val="009999"/>
            </a:solidFill>
          </cx:spPr>
          <cx:dataId val="1"/>
          <cx:layoutPr>
            <cx:visibility meanLine="0" meanMarker="1" nonoutliers="0" outliers="1"/>
            <cx:statistics quartileMethod="exclusive"/>
          </cx:layoutPr>
        </cx:series>
      </cx:plotAreaRegion>
      <cx:axis id="0" hidden="1">
        <cx:catScaling gapWidth="1"/>
        <cx:tickLabels/>
        <cx:txPr>
          <a:bodyPr spcFirstLastPara="1" vertOverflow="ellipsis" horzOverflow="overflow" wrap="square" lIns="0" tIns="0" rIns="0" bIns="0" anchor="ctr" anchorCtr="1"/>
          <a:lstStyle/>
          <a:p>
            <a:pPr algn="ctr" rtl="0">
              <a:defRPr/>
            </a:pPr>
            <a:endParaRPr lang="en-US" sz="900" b="0" i="0" u="none" strike="noStrike" baseline="0">
              <a:solidFill>
                <a:sysClr val="windowText" lastClr="000000">
                  <a:lumMod val="65000"/>
                  <a:lumOff val="35000"/>
                </a:sysClr>
              </a:solidFill>
              <a:latin typeface="Aptos Narrow" panose="02110004020202020204"/>
            </a:endParaRPr>
          </a:p>
        </cx:txPr>
      </cx:axis>
      <cx:axis id="1">
        <cx:valScaling/>
        <cx:title>
          <cx:tx>
            <cx:txData>
              <cx:v>Age in Years</cx:v>
            </cx:txData>
          </cx:tx>
          <cx:txPr>
            <a:bodyPr spcFirstLastPara="1" vertOverflow="ellipsis" horzOverflow="overflow" wrap="square" lIns="0" tIns="0" rIns="0" bIns="0" anchor="ctr" anchorCtr="1"/>
            <a:lstStyle/>
            <a:p>
              <a:pPr algn="ctr" rtl="0">
                <a:defRPr sz="2400" baseline="0"/>
              </a:pPr>
              <a:r>
                <a:rPr lang="en-US" sz="1200" b="0" i="0" u="none" strike="noStrike" baseline="0">
                  <a:solidFill>
                    <a:sysClr val="windowText" lastClr="000000">
                      <a:lumMod val="65000"/>
                      <a:lumOff val="35000"/>
                    </a:sysClr>
                  </a:solidFill>
                  <a:latin typeface="Aptos Narrow" panose="02110004020202020204"/>
                </a:rPr>
                <a:t>Age in Years</a:t>
              </a:r>
            </a:p>
          </cx:txPr>
        </cx:title>
        <cx:tickLabels/>
        <cx:txPr>
          <a:bodyPr spcFirstLastPara="1" vertOverflow="ellipsis" horzOverflow="overflow" wrap="square" lIns="0" tIns="0" rIns="0" bIns="0" anchor="ctr" anchorCtr="1"/>
          <a:lstStyle/>
          <a:p>
            <a:pPr algn="ctr" rtl="0">
              <a:defRPr sz="1800" baseline="0"/>
            </a:pPr>
            <a:endParaRPr lang="en-US" sz="1800" b="0" i="0" u="none" strike="noStrike" baseline="0">
              <a:solidFill>
                <a:srgbClr val="000000">
                  <a:lumMod val="65000"/>
                  <a:lumOff val="35000"/>
                </a:srgbClr>
              </a:solidFill>
              <a:latin typeface="Calibri"/>
            </a:endParaRPr>
          </a:p>
        </cx:txPr>
      </cx:axis>
    </cx:plotArea>
    <cx:legend pos="b" align="ctr" overlay="0">
      <cx:txPr>
        <a:bodyPr spcFirstLastPara="1" vertOverflow="ellipsis" horzOverflow="overflow" wrap="square" lIns="0" tIns="0" rIns="0" bIns="0" anchor="ctr" anchorCtr="1"/>
        <a:lstStyle/>
        <a:p>
          <a:pPr algn="ctr" rtl="0">
            <a:defRPr sz="2000" baseline="0"/>
          </a:pPr>
          <a:endParaRPr lang="en-US" sz="1200" b="0" i="0" u="none" strike="noStrike" baseline="0">
            <a:solidFill>
              <a:srgbClr val="000000">
                <a:lumMod val="65000"/>
                <a:lumOff val="35000"/>
              </a:srgbClr>
            </a:solidFill>
            <a:latin typeface="Calibri"/>
          </a:endParaRPr>
        </a:p>
      </cx:txPr>
    </cx:legend>
  </cx:chart>
  <cx:spPr>
    <a:ln>
      <a:no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Sheet1!$B$23:$E$23</cx:f>
        <cx:lvl ptCount="4" formatCode="General">
          <cx:pt idx="0">7</cx:pt>
          <cx:pt idx="1">5</cx:pt>
          <cx:pt idx="2">3</cx:pt>
          <cx:pt idx="3">8</cx:pt>
        </cx:lvl>
      </cx:numDim>
    </cx:data>
    <cx:data id="1">
      <cx:numDim type="val">
        <cx:f>Sheet1!$B$24:$E$24</cx:f>
        <cx:lvl ptCount="4" formatCode="General">
          <cx:pt idx="0">4</cx:pt>
          <cx:pt idx="1">3</cx:pt>
          <cx:pt idx="2">2</cx:pt>
          <cx:pt idx="3">5</cx:pt>
        </cx:lvl>
      </cx:numDim>
    </cx:data>
  </cx:chartData>
  <cx:chart>
    <cx:title pos="t" align="ctr" overlay="0">
      <cx:tx>
        <cx:rich>
          <a:bodyPr spcFirstLastPara="1" vertOverflow="ellipsis" horzOverflow="overflow" wrap="square" lIns="0" tIns="0" rIns="0" bIns="0" anchor="ctr" anchorCtr="1"/>
          <a:lstStyle/>
          <a:p>
            <a:pPr algn="ctr" rtl="0">
              <a:defRPr sz="3200" baseline="0">
                <a:latin typeface="Calibri" panose="020F0502020204030204" pitchFamily="34" charset="0"/>
              </a:defRPr>
            </a:pPr>
            <a:r>
              <a:rPr lang="en-US" sz="1200" b="1" i="0" u="none" strike="noStrike" baseline="0" dirty="0">
                <a:solidFill>
                  <a:sysClr val="windowText" lastClr="000000">
                    <a:lumMod val="65000"/>
                    <a:lumOff val="35000"/>
                  </a:sysClr>
                </a:solidFill>
                <a:latin typeface="Calibri" panose="020F0502020204030204" pitchFamily="34" charset="0"/>
              </a:rPr>
              <a:t>Fig 1b: </a:t>
            </a:r>
            <a:r>
              <a:rPr lang="en-US" sz="1200" b="0" i="0" u="none" strike="noStrike" baseline="0" dirty="0">
                <a:solidFill>
                  <a:sysClr val="windowText" lastClr="000000">
                    <a:lumMod val="65000"/>
                    <a:lumOff val="35000"/>
                  </a:sysClr>
                </a:solidFill>
                <a:latin typeface="Calibri" panose="020F0502020204030204" pitchFamily="34" charset="0"/>
              </a:rPr>
              <a:t>Length of Stay by Referral Status</a:t>
            </a:r>
          </a:p>
        </cx:rich>
      </cx:tx>
    </cx:title>
    <cx:plotArea>
      <cx:plotAreaRegion>
        <cx:series layoutId="boxWhisker" uniqueId="{A3E934E0-F06C-4E5E-83B7-5D2ED2725DDE}">
          <cx:tx>
            <cx:txData>
              <cx:f>Sheet1!$A$23</cx:f>
              <cx:v>Referred to Physiotherapy</cx:v>
            </cx:txData>
          </cx:tx>
          <cx:dataId val="0"/>
          <cx:layoutPr>
            <cx:visibility meanLine="0" meanMarker="1" nonoutliers="0" outliers="1"/>
            <cx:statistics quartileMethod="exclusive"/>
          </cx:layoutPr>
        </cx:series>
        <cx:series layoutId="boxWhisker" uniqueId="{04AA0597-5E1A-4F63-90EC-5D6DEF0332E0}">
          <cx:tx>
            <cx:txData>
              <cx:f>Sheet1!$A$24</cx:f>
              <cx:v>Not Referred</cx:v>
            </cx:txData>
          </cx:tx>
          <cx:spPr>
            <a:solidFill>
              <a:srgbClr val="009999"/>
            </a:solidFill>
          </cx:spPr>
          <cx:dataId val="1"/>
          <cx:layoutPr>
            <cx:visibility meanLine="0" meanMarker="1" nonoutliers="0" outliers="1"/>
            <cx:statistics quartileMethod="exclusive"/>
          </cx:layoutPr>
        </cx:series>
      </cx:plotAreaRegion>
      <cx:axis id="0" hidden="1">
        <cx:catScaling gapWidth="1"/>
        <cx:tickLabels/>
      </cx:axis>
      <cx:axis id="1">
        <cx:valScaling/>
        <cx:title>
          <cx:tx>
            <cx:txData>
              <cx:v>Days</cx:v>
            </cx:txData>
          </cx:tx>
          <cx:txPr>
            <a:bodyPr spcFirstLastPara="1" vertOverflow="ellipsis" horzOverflow="overflow" wrap="square" lIns="0" tIns="0" rIns="0" bIns="0" anchor="ctr" anchorCtr="1"/>
            <a:lstStyle/>
            <a:p>
              <a:pPr algn="ctr" rtl="0">
                <a:defRPr sz="2400" baseline="0"/>
              </a:pPr>
              <a:r>
                <a:rPr lang="en-US" sz="1200" b="0" i="0" u="none" strike="noStrike" baseline="0">
                  <a:solidFill>
                    <a:sysClr val="windowText" lastClr="000000">
                      <a:lumMod val="65000"/>
                      <a:lumOff val="35000"/>
                    </a:sysClr>
                  </a:solidFill>
                  <a:latin typeface="Aptos Narrow" panose="02110004020202020204"/>
                </a:rPr>
                <a:t>Days</a:t>
              </a:r>
            </a:p>
          </cx:txPr>
        </cx:title>
        <cx:tickLabels/>
        <cx:txPr>
          <a:bodyPr spcFirstLastPara="1" vertOverflow="ellipsis" horzOverflow="overflow" wrap="square" lIns="0" tIns="0" rIns="0" bIns="0" anchor="ctr" anchorCtr="1"/>
          <a:lstStyle/>
          <a:p>
            <a:pPr algn="ctr" rtl="0">
              <a:defRPr sz="1800" baseline="0"/>
            </a:pPr>
            <a:endParaRPr lang="en-US" sz="1800" b="0" i="0" u="none" strike="noStrike" baseline="0">
              <a:solidFill>
                <a:srgbClr val="000000">
                  <a:lumMod val="65000"/>
                  <a:lumOff val="35000"/>
                </a:srgbClr>
              </a:solidFill>
              <a:latin typeface="Calibri"/>
            </a:endParaRPr>
          </a:p>
        </cx:txPr>
      </cx:axis>
    </cx:plotArea>
    <cx:legend pos="b" align="ctr" overlay="0">
      <cx:txPr>
        <a:bodyPr spcFirstLastPara="1" vertOverflow="ellipsis" horzOverflow="overflow" wrap="square" lIns="0" tIns="0" rIns="0" bIns="0" anchor="ctr" anchorCtr="1"/>
        <a:lstStyle/>
        <a:p>
          <a:pPr algn="ctr" rtl="0">
            <a:defRPr sz="1200" baseline="0"/>
          </a:pPr>
          <a:endParaRPr lang="en-US" sz="1200" b="0" i="0" u="none" strike="noStrike" baseline="0">
            <a:solidFill>
              <a:srgbClr val="000000">
                <a:lumMod val="65000"/>
                <a:lumOff val="35000"/>
              </a:srgbClr>
            </a:solidFill>
            <a:latin typeface="Calibri"/>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7ADFD9-5978-4CC5-A3F0-ECF17742DE4B}"/>
</file>

<file path=customXml/itemProps2.xml><?xml version="1.0" encoding="utf-8"?>
<ds:datastoreItem xmlns:ds="http://schemas.openxmlformats.org/officeDocument/2006/customXml" ds:itemID="{379DB0D0-A38E-4438-8062-03C8DB1ED5C4}"/>
</file>

<file path=customXml/itemProps3.xml><?xml version="1.0" encoding="utf-8"?>
<ds:datastoreItem xmlns:ds="http://schemas.openxmlformats.org/officeDocument/2006/customXml" ds:itemID="{812D54A3-AC13-4229-B63D-BB586D30B2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 McCaig</dc:creator>
  <keywords/>
  <dc:description/>
  <lastModifiedBy>Em Bulger</lastModifiedBy>
  <revision>4</revision>
  <dcterms:created xsi:type="dcterms:W3CDTF">2026-08-04T00:46:00.0000000Z</dcterms:created>
  <dcterms:modified xsi:type="dcterms:W3CDTF">2026-08-20T04:00:08.2498101Z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0x01010092D1F1029E4D274DB47A7F77C00CD6D8</vt:lpwstr>
  </property>
  <property fmtid="{D5CDD505-2E9C-101B-9397-08002B2CF9AE}" pid="3" name="MediaServiceImageTags">
    <vt:lpwstr/>
  </property>
</Properties>
</file>