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B44372" w:rsidP="42B45367" w:rsidRDefault="00B44372" w14:paraId="7BFF330E" w14:textId="77777777">
      <w:pPr>
        <w:pStyle w:val="Heading1"/>
      </w:pPr>
      <w:r w:rsidR="62611FAA">
        <w:rPr/>
        <w:t xml:space="preserve">Engaging with First Nations communities in health research as a non-Indigenous researcher </w:t>
      </w:r>
    </w:p>
    <w:p w:rsidR="002255D3" w:rsidP="00B44372" w:rsidRDefault="00B44372" w14:paraId="72FFBB36" w14:textId="0856A71C">
      <w:r>
        <w:t>James Rule, Department of Digital health, School of Psychology &amp; Public Health</w:t>
      </w:r>
    </w:p>
    <w:p w:rsidR="00B44372" w:rsidP="42B45367" w:rsidRDefault="00B44372" w14:paraId="5D0E7D24" w14:textId="77777777">
      <w:pPr>
        <w:pStyle w:val="Heading2"/>
      </w:pPr>
      <w:r w:rsidR="62611FAA">
        <w:rPr/>
        <w:t>European colonisation</w:t>
      </w:r>
    </w:p>
    <w:p w:rsidR="00B44372" w:rsidP="00B44372" w:rsidRDefault="00B44372" w14:paraId="0FE3C7B1" w14:textId="733B06AD">
      <w:r>
        <w:t xml:space="preserve">The era of European colonisation of what was until the late 1800s, known as "the New World" commenced in the 1400s led by Portugal and Spain. Other countries soon followed, reaping untold wealth from the resources and people of this "new world" including Britain, France Germany, Holland and Belgium (Webster, 2026). Even the United States, one of the world's first democracies has acquired significant colonial holdings, including, Hawaii, Alaska, Puerto Rico, as well as numerous other </w:t>
      </w:r>
      <w:r w:rsidR="00DE1FED">
        <w:t>n</w:t>
      </w:r>
      <w:r>
        <w:t>ations across the Pacific (Paik, 2023).</w:t>
      </w:r>
    </w:p>
    <w:p w:rsidR="00B44372" w:rsidP="00B44372" w:rsidRDefault="00B44372" w14:paraId="30707D36" w14:textId="77777777">
      <w:r>
        <w:t>This era of colonisation did bring enormous wealth and access to resources, including human slaves and heralded an era of growth and incredible improvements in the quality of life for most Europeans (Koyama &amp; Rubin, 2022). Unfortunately, this process of expansion and colonisation, seen as progress, by Europeans, was deeply rooted in white supremacy, and immeasurable violence committed by European colonisers and settlers on First Nations people worldwide (</w:t>
      </w:r>
      <w:proofErr w:type="spellStart"/>
      <w:r>
        <w:t>Yoorrook</w:t>
      </w:r>
      <w:proofErr w:type="spellEnd"/>
      <w:r>
        <w:t xml:space="preserve"> Justice Commission, 2026).</w:t>
      </w:r>
    </w:p>
    <w:p w:rsidR="00B44372" w:rsidP="00B44372" w:rsidRDefault="003738D4" w14:paraId="299F2E94" w14:textId="08111D84">
      <w:r>
        <w:t xml:space="preserve">Painting: </w:t>
      </w:r>
      <w:r w:rsidR="00B44372">
        <w:t>The Founding of Australia 1788, oil painting by Algernon Talmage 1937</w:t>
      </w:r>
      <w:r w:rsidR="00B44372">
        <w:br/>
      </w:r>
      <w:r w:rsidR="00B44372">
        <w:t>Mitchell Library, State Library of New South Wales.</w:t>
      </w:r>
    </w:p>
    <w:p w:rsidR="00B44372" w:rsidP="00B44372" w:rsidRDefault="00B44372" w14:paraId="357FD4A9" w14:textId="4B626DB6">
      <w:r>
        <w:t xml:space="preserve">Alt text: The painting depicts the moment Governor Phillip (in the centre of the painting) proposed a toast to King George III, on the afternoon of 26 January 1788 on the shore of what is now known as Sydney cove. it shows </w:t>
      </w:r>
      <w:proofErr w:type="gramStart"/>
      <w:r>
        <w:t>a number of</w:t>
      </w:r>
      <w:proofErr w:type="gramEnd"/>
      <w:r>
        <w:t xml:space="preserve"> British officers, soldiers &amp; </w:t>
      </w:r>
      <w:r w:rsidR="00DE1FED">
        <w:t>sailors</w:t>
      </w:r>
      <w:r>
        <w:t xml:space="preserve"> in uniform of white trousers knee high boots &amp; either red or blue jackets, toasting the Union flag as it is raised. eucalyptus trees grow down to the shore, although several have cut down already. In the background on the right, two or three tents have been raised, there is a tall ship without sails in the cove &amp; men bringing supplies ashore.</w:t>
      </w:r>
    </w:p>
    <w:p w:rsidR="00B44372" w:rsidP="00B44372" w:rsidRDefault="00B44372" w14:paraId="66804506" w14:textId="0349BCB2">
      <w:r>
        <w:t>As result of colonisation, many First Peoples live in extreme poverty and deprivation, even in countries with the highest living standards such as Australia, the United States and Canada. First Nations people still face systemic racism and discrimination which results in significant disadvantage. The life expectancy of First Nations Australians is significantly lower than non-</w:t>
      </w:r>
      <w:r w:rsidR="008879E7">
        <w:t>Indigenous,</w:t>
      </w:r>
      <w:r>
        <w:t xml:space="preserve"> and the prevalence of preventable disease is significantly higher in almost all areas of health (Anderson et al, 2016).</w:t>
      </w:r>
    </w:p>
    <w:p w:rsidR="00B44372" w:rsidP="00B44372" w:rsidRDefault="00B44372" w14:paraId="61E4F129" w14:textId="269563AE">
      <w:r>
        <w:t xml:space="preserve">Throughout the era of colonisation, First Nations people worldwide, have been among the most heavily researched groups of people worldwide and continue to be today (Thomas et al, 2014). Until the </w:t>
      </w:r>
      <w:r w:rsidR="008879E7">
        <w:t>mid-20th</w:t>
      </w:r>
      <w:r>
        <w:t xml:space="preserve"> century much of this research was openly hostile towards First Nations </w:t>
      </w:r>
      <w:r w:rsidR="008879E7">
        <w:t>people and</w:t>
      </w:r>
      <w:r>
        <w:t xml:space="preserve"> undertaken with the aim of providing scientific proof of their racial inferiority, physically and mentally (</w:t>
      </w:r>
      <w:proofErr w:type="spellStart"/>
      <w:r>
        <w:t>Lowitja</w:t>
      </w:r>
      <w:proofErr w:type="spellEnd"/>
      <w:r>
        <w:t xml:space="preserve"> Institute, 2013).</w:t>
      </w:r>
    </w:p>
    <w:p w:rsidR="00B44372" w:rsidP="42B45367" w:rsidRDefault="00B44372" w14:paraId="2704A702" w14:textId="77777777">
      <w:pPr>
        <w:pStyle w:val="Heading2"/>
      </w:pPr>
      <w:r w:rsidR="62611FAA">
        <w:rPr/>
        <w:t>Ongoing research</w:t>
      </w:r>
    </w:p>
    <w:p w:rsidR="00B44372" w:rsidP="00B44372" w:rsidRDefault="00B44372" w14:paraId="7887CDE4" w14:textId="77777777">
      <w:r>
        <w:t>Overtime, the focus of research on First Nations people did largely move to attempts to improve the health outlook and life expectancy of First Peoples, however much of this research was undertaken with the same colonial attitudes and perspectives which caused the problems in the first place. The research was, until very recently and in some cases, continues to be, done “on” First Nations people and communities, not with them, without knowledge or respect for First Nations cultures and ways of knowing and doing. First Nations communities were not consulted on the nature of the problem, the nature of the research, or the solution (Thomas et al, 2014).</w:t>
      </w:r>
    </w:p>
    <w:p w:rsidR="00B44372" w:rsidP="00B44372" w:rsidRDefault="00B44372" w14:paraId="0CF29FB0" w14:textId="20AC11EC">
      <w:r>
        <w:t xml:space="preserve">Many of these research projects achieved results at first, but a huge body of evidence shows that the solutions and the results were not sustainable (Collis et al, 2025). First Nations community organisations tell us, that </w:t>
      </w:r>
      <w:r w:rsidR="005B24B8">
        <w:t>to</w:t>
      </w:r>
      <w:r>
        <w:t xml:space="preserve"> achieve sustainable results research and Indigenous Health projects must be undertaken with First Nations communities. It must be led by First Nations. it must adhere to principles of self-determination and “Nothing about us without us.” It must be collaborative and </w:t>
      </w:r>
      <w:r w:rsidR="000D6A59">
        <w:t>consultative,</w:t>
      </w:r>
      <w:r>
        <w:t xml:space="preserve"> and it must be culturally appropriate, by centring First Nations cultures (</w:t>
      </w:r>
      <w:proofErr w:type="spellStart"/>
      <w:r>
        <w:t>Lowitja</w:t>
      </w:r>
      <w:proofErr w:type="spellEnd"/>
      <w:r>
        <w:t xml:space="preserve"> Institute, 2020).</w:t>
      </w:r>
    </w:p>
    <w:p w:rsidR="00104E74" w:rsidP="00B44372" w:rsidRDefault="00104E74" w14:paraId="2C995758" w14:textId="77777777">
      <w:r w:rsidRPr="00104E74">
        <w:t>Empires of the world in 1910 https://en.wikipedia.org/wiki/History_of_colonialism (Ishvara7, 2021, CC BY-SA 3.0)</w:t>
      </w:r>
    </w:p>
    <w:p w:rsidR="00AE13D4" w:rsidP="00B44372" w:rsidRDefault="002A03F1" w14:paraId="041D176E" w14:textId="1BDDF1FE">
      <w:r>
        <w:t>Alt text: A colour coded map of the world, depicting which regions were colonised by whom, circa 1910</w:t>
      </w:r>
    </w:p>
    <w:p w:rsidR="00B44372" w:rsidP="00B44372" w:rsidRDefault="00B44372" w14:paraId="52E4E027" w14:textId="77777777">
      <w:r>
        <w:t xml:space="preserve">More recently, with increasing numbers of First Nations academics and researchers, we have seen the rise of the concept of Indigenist research paradigms, which centre Indigenous cultures, ontologies and epistemologies. Allowing researchers to work with First Nations communities in ways which are most appropriate to their cultures (Wilson,2003; </w:t>
      </w:r>
      <w:proofErr w:type="spellStart"/>
      <w:r>
        <w:t>Harriden</w:t>
      </w:r>
      <w:proofErr w:type="spellEnd"/>
      <w:r>
        <w:t>, 2023).</w:t>
      </w:r>
    </w:p>
    <w:p w:rsidR="00B44372" w:rsidP="00B44372" w:rsidRDefault="00B44372" w14:paraId="3178215E" w14:textId="77777777">
      <w:r>
        <w:t>This approach to research can and should be viewed as a matter of simple respect but research from also shows that research and healthcare projects undertaken in this spirit do achieve better, more sustained results (</w:t>
      </w:r>
      <w:proofErr w:type="spellStart"/>
      <w:r>
        <w:t>Lowitja</w:t>
      </w:r>
      <w:proofErr w:type="spellEnd"/>
      <w:r>
        <w:t xml:space="preserve"> Institute, 2020).</w:t>
      </w:r>
    </w:p>
    <w:p w:rsidR="00B44372" w:rsidP="42B45367" w:rsidRDefault="00B44372" w14:paraId="68A4EDE2" w14:textId="77777777">
      <w:pPr>
        <w:pStyle w:val="Heading2"/>
      </w:pPr>
      <w:r w:rsidR="62611FAA">
        <w:rPr/>
        <w:t>The role of co-design</w:t>
      </w:r>
    </w:p>
    <w:p w:rsidR="00B44372" w:rsidP="00B44372" w:rsidRDefault="00B44372" w14:paraId="1A46F608" w14:textId="77777777">
      <w:r>
        <w:t>Co-design, which is defined as “designing with, not for” is a collaborative methodology, in which designers work with the stakeholders of a project, such as end users, and customers or patients in a system. Co-design involves sharing power and optimising participation to optimise the utility of a project or system, in ways which centre “lived experience.” As such it is an ideal approach for working with first Nations communities to deliver sustainable outcomes which work for the people involved (Butler et al, 2025).</w:t>
      </w:r>
    </w:p>
    <w:p w:rsidR="00B44372" w:rsidP="00B44372" w:rsidRDefault="00B44372" w14:paraId="2F595F35" w14:textId="77777777">
      <w:r>
        <w:t>In Beyond Sticky Notes KA McKercher (2024), offers 4 Rules which encapsulate the principles of co-design and allow us to produce the best outcomes for all involved.</w:t>
      </w:r>
    </w:p>
    <w:p w:rsidR="00B44372" w:rsidP="00B44372" w:rsidRDefault="00B44372" w14:paraId="12A646FA" w14:textId="77777777">
      <w:r>
        <w:t>1. Focus on relationships</w:t>
      </w:r>
    </w:p>
    <w:p w:rsidR="00B44372" w:rsidP="00B44372" w:rsidRDefault="00B44372" w14:paraId="0FFDACAE" w14:textId="77777777">
      <w:r>
        <w:t>2. Share power</w:t>
      </w:r>
    </w:p>
    <w:p w:rsidR="00B44372" w:rsidP="00B44372" w:rsidRDefault="00B44372" w14:paraId="11D64A1C" w14:textId="77777777">
      <w:r>
        <w:t>3. Build capability</w:t>
      </w:r>
    </w:p>
    <w:p w:rsidR="00B44372" w:rsidP="00B44372" w:rsidRDefault="00B44372" w14:paraId="64E5BECE" w14:textId="77777777">
      <w:r>
        <w:t>4. Use participatory means.</w:t>
      </w:r>
    </w:p>
    <w:p w:rsidR="00270038" w:rsidP="00270038" w:rsidRDefault="00270038" w14:paraId="5456B11E" w14:textId="47829261">
      <w:r>
        <w:t>Photo: 2026 First Nations Eye Health Alliance conference</w:t>
      </w:r>
      <w:r>
        <w:br/>
      </w:r>
      <w:r>
        <w:t>First Nations eye health professionals come together with non-Indigenous allies in Naarm - Melbourne to solve First Nations eye health problems.  Photo ©James Rule 2026</w:t>
      </w:r>
    </w:p>
    <w:p w:rsidR="006A7808" w:rsidP="00270038" w:rsidRDefault="006A7808" w14:paraId="2E6F9D23" w14:textId="1DABF145">
      <w:r>
        <w:t xml:space="preserve">Alt text: Photo of proud </w:t>
      </w:r>
      <w:r w:rsidR="008A75E4">
        <w:t>Māori</w:t>
      </w:r>
      <w:r>
        <w:t xml:space="preserve"> man addressing audience at conference, speaking into hand</w:t>
      </w:r>
      <w:r w:rsidR="008A75E4">
        <w:t>-</w:t>
      </w:r>
      <w:r>
        <w:t xml:space="preserve">held microphone. with female assistant in background on left and female session convener wearing black jumper with stripes of red &amp; bright yellow, seated behind him. The man is blind &amp; wears wraparound </w:t>
      </w:r>
      <w:r w:rsidR="008A75E4">
        <w:t>sunglasses</w:t>
      </w:r>
      <w:r>
        <w:t xml:space="preserve"> &amp; has cultural face tattoos. He is wearing a dark blue suit &amp; pink shirt. standing in front of Australian Flags, including Aboriginal flag &amp; Torres strait Islander flag. In the background are the empty stands of the Melbourne Cricket Ground.</w:t>
      </w:r>
    </w:p>
    <w:p w:rsidR="00B44372" w:rsidP="00B44372" w:rsidRDefault="00B44372" w14:paraId="5CD5CC3C" w14:textId="77777777">
      <w:r>
        <w:t>These principles and rules if applied properly should enable us to develop research projects which centre the Indigenous communities involved. However, in Co-design Versus Faux-design of Aboriginal and Torres Strait Islander Health Policy: A Critical Review (Butler et al, 2025), the authors remind us that as non-Indigenous people, when engaging with First Nations communities, we must be mindful of systemic racism and entranced power dynamics, in order to ensure that First Nations voices are truly heard.</w:t>
      </w:r>
    </w:p>
    <w:p w:rsidR="00B44372" w:rsidP="00B44372" w:rsidRDefault="00B44372" w14:paraId="11090D1D" w14:textId="77777777">
      <w:r>
        <w:t>Failure to do so may result in “tokenistic co-design-branded initiatives that lack genuine commitment to key co-design principles” (Butler et al, 2025).</w:t>
      </w:r>
    </w:p>
    <w:p w:rsidR="00B44372" w:rsidP="42B45367" w:rsidRDefault="00B44372" w14:paraId="7E64DAB9" w14:textId="607D71BF">
      <w:pPr>
        <w:pStyle w:val="Heading2"/>
      </w:pPr>
      <w:r w:rsidR="62611FAA">
        <w:rPr/>
        <w:t>References</w:t>
      </w:r>
    </w:p>
    <w:p w:rsidR="0004102E" w:rsidP="0004102E" w:rsidRDefault="0004102E" w14:paraId="74B98E01" w14:textId="14526D08">
      <w:r>
        <w:t xml:space="preserve">Anderson, I., Robson, B., Connolly, M., Al-Yaman, F., </w:t>
      </w:r>
      <w:proofErr w:type="spellStart"/>
      <w:r>
        <w:t>Bjertness</w:t>
      </w:r>
      <w:proofErr w:type="spellEnd"/>
      <w:r>
        <w:t>, E., King, A., . . . Yap, L. (2016). Indigenous and tribal peoples' health (The Lancet-</w:t>
      </w:r>
      <w:proofErr w:type="spellStart"/>
      <w:r>
        <w:t>Lowitja</w:t>
      </w:r>
      <w:proofErr w:type="spellEnd"/>
      <w:r>
        <w:t xml:space="preserve"> Institute Global Collaboration): a population study. Lancet, 388(10040), 131-157. https://doi.org/10.1016/s0140-6736(16)00345-7</w:t>
      </w:r>
    </w:p>
    <w:p w:rsidR="0004102E" w:rsidP="0004102E" w:rsidRDefault="0004102E" w14:paraId="0D89A9B0" w14:textId="77777777">
      <w:r>
        <w:t xml:space="preserve">Butler, T., Anderson, K., Black, O., Gall, A., </w:t>
      </w:r>
      <w:proofErr w:type="spellStart"/>
      <w:r>
        <w:t>Ngampromwongse</w:t>
      </w:r>
      <w:proofErr w:type="spellEnd"/>
      <w:r>
        <w:t xml:space="preserve">, K., Murray, R., . . . Whop, L. J. (2025). Co-design Versus </w:t>
      </w:r>
      <w:proofErr w:type="gramStart"/>
      <w:r>
        <w:t>Faux-design</w:t>
      </w:r>
      <w:proofErr w:type="gramEnd"/>
      <w:r>
        <w:t xml:space="preserve"> of Aboriginal and Torres Strait Islander Health Policy: A Critical Review. </w:t>
      </w:r>
      <w:proofErr w:type="spellStart"/>
      <w:r>
        <w:t>Lowitja</w:t>
      </w:r>
      <w:proofErr w:type="spellEnd"/>
      <w:r>
        <w:t xml:space="preserve"> Institute.</w:t>
      </w:r>
    </w:p>
    <w:p w:rsidR="0004102E" w:rsidP="0004102E" w:rsidRDefault="0004102E" w14:paraId="753F7902" w14:textId="77777777">
      <w:r>
        <w:t>Collis, F., Booth, K., Bryant, J., &amp; Kennedy, M. (2025). Beyond ethical guidelines: upholding Aboriginal and Torres Strait Islander ethical governance in health and medical research. A scoping review. Medical journal of Australia, 222(S2), S42-S48. https://doi.org/10.5694/mja2.52564</w:t>
      </w:r>
    </w:p>
    <w:p w:rsidR="0004102E" w:rsidP="0004102E" w:rsidRDefault="0004102E" w14:paraId="1F124B26" w14:textId="77777777">
      <w:proofErr w:type="spellStart"/>
      <w:r>
        <w:t>Harriden</w:t>
      </w:r>
      <w:proofErr w:type="spellEnd"/>
      <w:r>
        <w:t>, K., Yu, E., &amp; Yap, M. (2023). Acting locally, thinking nationally: layering Indigenous ontology within wellbeing frameworks. Public Health Research &amp; Practice, 33(2). https://doi.org/10.17061/phrp3322311</w:t>
      </w:r>
    </w:p>
    <w:p w:rsidR="0015140F" w:rsidP="0015140F" w:rsidRDefault="0015140F" w14:paraId="26B91619" w14:textId="35BB4DB1">
      <w:r>
        <w:t xml:space="preserve">Ishvara7. (2021). World empires and colonies around World War I - History of colonialism - Wikipedia CC BY-SA 3.0 [Map]. [Taken from old colonialism </w:t>
      </w:r>
      <w:proofErr w:type="spellStart"/>
      <w:r>
        <w:t>wikipedia</w:t>
      </w:r>
      <w:proofErr w:type="spellEnd"/>
      <w:r>
        <w:t xml:space="preserve"> map and outlined. Dated around 1900 (shows Italian - although the flag is not correct - North Africa post 1910 and Austro-Hungarian Empire circa WW1901). British territories of Canada, Australia, New Zealand and South Africa would later become dominions. Nations involved with imperialism, directly or indirectly, are coloured. Meant to portray the world around the time of WWI. In case anyone wonders, the red flag with the yellow crescent and star is the Rashidi house and their allies. Below them are the Saudis and their allies. Grey countries may be smaller empires (Nepal and Bhutan) or have extended their geopolitical boundaries over unsettled/</w:t>
      </w:r>
      <w:proofErr w:type="spellStart"/>
      <w:r>
        <w:t>inhabitated</w:t>
      </w:r>
      <w:proofErr w:type="spellEnd"/>
      <w:r>
        <w:t xml:space="preserve"> areas (i.e. Latin America such as Chile acquired Easter Island and the Antarctic Peninsula).]. Wikipedia, </w:t>
      </w:r>
      <w:proofErr w:type="spellStart"/>
      <w:r>
        <w:t>Wikipedia.Retrieved</w:t>
      </w:r>
      <w:proofErr w:type="spellEnd"/>
      <w:r>
        <w:t xml:space="preserve"> 13/7/2026 from</w:t>
      </w:r>
    </w:p>
    <w:p w:rsidR="0015140F" w:rsidP="0015140F" w:rsidRDefault="0015140F" w14:paraId="460B8DEA" w14:textId="3BDCC4AD">
      <w:r>
        <w:fldChar w:fldCharType="begin"/>
      </w:r>
      <w:r>
        <w:instrText>HYPERLINK "</w:instrText>
      </w:r>
      <w:r>
        <w:instrText>https://commons.wikimedia.org/wiki/File:World_empires_and_colonies_around_World_War_I.png</w:instrText>
      </w:r>
      <w:r>
        <w:instrText>"</w:instrText>
      </w:r>
      <w:r>
        <w:fldChar w:fldCharType="separate"/>
      </w:r>
      <w:r w:rsidRPr="004F4F45">
        <w:rPr>
          <w:rStyle w:val="Hyperlink"/>
        </w:rPr>
        <w:t>https://commons.wikimedia.org/wiki/File:World_empires_and_colonies_around_World_War_I.png</w:t>
      </w:r>
      <w:r>
        <w:fldChar w:fldCharType="end"/>
      </w:r>
    </w:p>
    <w:p w:rsidR="0004102E" w:rsidP="0015140F" w:rsidRDefault="0004102E" w14:paraId="083DE74C" w14:textId="5E7EEB09">
      <w:r>
        <w:t>Koyama, M., &amp; Rubin, J. (2022). How the World Became Rich - Chapter 6: Colonization. https://www.howtheworldbecamerich.com/chapter-summaries/chapter-6-colonization</w:t>
      </w:r>
    </w:p>
    <w:p w:rsidR="0004102E" w:rsidP="0004102E" w:rsidRDefault="0004102E" w14:paraId="49DEFE30" w14:textId="77777777">
      <w:proofErr w:type="spellStart"/>
      <w:r>
        <w:t>Lowitja</w:t>
      </w:r>
      <w:proofErr w:type="spellEnd"/>
      <w:r>
        <w:t xml:space="preserve"> Institute. (2013). Researching Right Way: Aboriginal and Torres Strait Islander Health Research Ethics: A Domestic and International Review. Australian Institute of Aboriginal &amp; Torres Strait Islander (Eds.): </w:t>
      </w:r>
      <w:proofErr w:type="spellStart"/>
      <w:r>
        <w:t>Lowitja</w:t>
      </w:r>
      <w:proofErr w:type="spellEnd"/>
      <w:r>
        <w:t xml:space="preserve"> Institute. </w:t>
      </w:r>
    </w:p>
    <w:p w:rsidR="0004102E" w:rsidP="0004102E" w:rsidRDefault="0004102E" w14:paraId="0ACA5E64" w14:textId="77777777">
      <w:proofErr w:type="spellStart"/>
      <w:r>
        <w:t>Lowitja</w:t>
      </w:r>
      <w:proofErr w:type="spellEnd"/>
      <w:r>
        <w:t xml:space="preserve"> Institute (2020). We nurture our culture for our future, and our culture nurtures us, A report prepared by the </w:t>
      </w:r>
      <w:proofErr w:type="spellStart"/>
      <w:r>
        <w:t>Lowitja</w:t>
      </w:r>
      <w:proofErr w:type="spellEnd"/>
      <w:r>
        <w:t xml:space="preserve"> Institute for the Close the Gap Steering Committee. Canberra, ACT: Close the Gap Steering Committee Retrieved from https://www.humanrights.gov.au/our-work/aboriginal-and-torres-strait-islander-social-justice/publications/close-gap-2020</w:t>
      </w:r>
    </w:p>
    <w:p w:rsidR="0004102E" w:rsidP="0004102E" w:rsidRDefault="0004102E" w14:paraId="1093EBD6" w14:textId="77777777">
      <w:proofErr w:type="spellStart"/>
      <w:r>
        <w:t>Mckercher</w:t>
      </w:r>
      <w:proofErr w:type="spellEnd"/>
      <w:r>
        <w:t>, K. A. (2024). What is co-design? — Beyond Sticky Notes. Retrieved 25/10/24 from https://www.beyondstickynotes.com/what-is-codesign</w:t>
      </w:r>
    </w:p>
    <w:p w:rsidR="0004102E" w:rsidP="0004102E" w:rsidRDefault="0004102E" w14:paraId="15CB2B7D" w14:textId="77777777">
      <w:r>
        <w:t xml:space="preserve">Paik, A. N. (2023). U.S. Imperialism and Rights. Modern American History, 6(1), 64-68. https://doi.org/10.1017/mah.2023.9Thomas, D. P., Bainbridge, R., &amp; </w:t>
      </w:r>
      <w:proofErr w:type="spellStart"/>
      <w:r>
        <w:t>Tsey</w:t>
      </w:r>
      <w:proofErr w:type="spellEnd"/>
      <w:r>
        <w:t>, K. (2014). Changing discourses in Aboriginal and Torres Strait Islander health research, 1914</w:t>
      </w:r>
      <w:r>
        <w:rPr>
          <w:rFonts w:ascii="Cambria Math" w:hAnsi="Cambria Math" w:cs="Cambria Math"/>
        </w:rPr>
        <w:t>‐</w:t>
      </w:r>
      <w:r>
        <w:t>2014. Medical journal of Australia, 201(S1), S15-S18. https://doi.org/10.5694/mja14.00114</w:t>
      </w:r>
    </w:p>
    <w:p w:rsidR="0004102E" w:rsidP="0004102E" w:rsidRDefault="0004102E" w14:paraId="2E501D79" w14:textId="77777777">
      <w:r>
        <w:t>Webster, R. A. (2026). Western colonialism Characteristics, European, in Africa, Examples, &amp; Effects. In Encyclopedia Britannica.</w:t>
      </w:r>
    </w:p>
    <w:p w:rsidR="0004102E" w:rsidP="0004102E" w:rsidRDefault="0004102E" w14:paraId="5287743C" w14:textId="77777777">
      <w:r>
        <w:t>Wilson, S. (2003). Progressing Toward an Indigenous Research Paradigm in Canada and Australia. Canadian Journal of Native Education, 27(2), 161-178. http://ez.library.latrobe.edu.au/login?url=https://www.proquest.com/scholarly-journals/progressing-toward-indigenous-research-paradigm/docview/230305890/se-2?accountid=12001</w:t>
      </w:r>
    </w:p>
    <w:p w:rsidR="00B44372" w:rsidP="0004102E" w:rsidRDefault="0004102E" w14:paraId="126CAD07" w14:textId="3183145D">
      <w:proofErr w:type="spellStart"/>
      <w:r>
        <w:t>Yoorrook</w:t>
      </w:r>
      <w:proofErr w:type="spellEnd"/>
      <w:r>
        <w:t xml:space="preserve"> Justice Commission. (2026, 2026/07/17/). The Impacts of Colonisation </w:t>
      </w:r>
      <w:proofErr w:type="spellStart"/>
      <w:r>
        <w:t>Yoorrook</w:t>
      </w:r>
      <w:proofErr w:type="spellEnd"/>
      <w:r>
        <w:t xml:space="preserve"> Justice Commission. State Library Victoria. https://www.yoorrook.org.au/history/the-impacts-of-colonisation</w:t>
      </w:r>
    </w:p>
    <w:sectPr w:rsidR="00B4437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372"/>
    <w:rsid w:val="0004102E"/>
    <w:rsid w:val="00093EBB"/>
    <w:rsid w:val="000D6A59"/>
    <w:rsid w:val="00104E74"/>
    <w:rsid w:val="0015140F"/>
    <w:rsid w:val="001C34F6"/>
    <w:rsid w:val="002255D3"/>
    <w:rsid w:val="00234788"/>
    <w:rsid w:val="00270038"/>
    <w:rsid w:val="002A03F1"/>
    <w:rsid w:val="003738D4"/>
    <w:rsid w:val="00435492"/>
    <w:rsid w:val="004A7071"/>
    <w:rsid w:val="00590345"/>
    <w:rsid w:val="005A3E80"/>
    <w:rsid w:val="005B24B8"/>
    <w:rsid w:val="005F7408"/>
    <w:rsid w:val="006A7808"/>
    <w:rsid w:val="006D6DD1"/>
    <w:rsid w:val="007419A2"/>
    <w:rsid w:val="008879E7"/>
    <w:rsid w:val="008A293D"/>
    <w:rsid w:val="008A75E4"/>
    <w:rsid w:val="0098102C"/>
    <w:rsid w:val="009E180F"/>
    <w:rsid w:val="00AB6CF5"/>
    <w:rsid w:val="00AE13D4"/>
    <w:rsid w:val="00B44372"/>
    <w:rsid w:val="00B91ED6"/>
    <w:rsid w:val="00BD6F68"/>
    <w:rsid w:val="00BE625D"/>
    <w:rsid w:val="00DE1FED"/>
    <w:rsid w:val="00E90490"/>
    <w:rsid w:val="00EB54BD"/>
    <w:rsid w:val="00F4698F"/>
    <w:rsid w:val="42B45367"/>
    <w:rsid w:val="62611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45D23B9"/>
  <w15:chartTrackingRefBased/>
  <w15:docId w15:val="{48B28969-4620-6847-A4B9-3C9B7B7F22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4437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37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3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3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3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3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3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3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37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437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4437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4437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4437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4437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4437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4437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4437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44372"/>
    <w:rPr>
      <w:rFonts w:eastAsiaTheme="majorEastAsia" w:cstheme="majorBidi"/>
      <w:color w:val="272727" w:themeColor="text1" w:themeTint="D8"/>
    </w:rPr>
  </w:style>
  <w:style w:type="paragraph" w:styleId="Title">
    <w:name w:val="Title"/>
    <w:basedOn w:val="Normal"/>
    <w:next w:val="Normal"/>
    <w:link w:val="TitleChar"/>
    <w:uiPriority w:val="10"/>
    <w:qFormat/>
    <w:rsid w:val="00B4437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4437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4437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443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372"/>
    <w:pPr>
      <w:spacing w:before="160"/>
      <w:jc w:val="center"/>
    </w:pPr>
    <w:rPr>
      <w:i/>
      <w:iCs/>
      <w:color w:val="404040" w:themeColor="text1" w:themeTint="BF"/>
    </w:rPr>
  </w:style>
  <w:style w:type="character" w:styleId="QuoteChar" w:customStyle="1">
    <w:name w:val="Quote Char"/>
    <w:basedOn w:val="DefaultParagraphFont"/>
    <w:link w:val="Quote"/>
    <w:uiPriority w:val="29"/>
    <w:rsid w:val="00B44372"/>
    <w:rPr>
      <w:i/>
      <w:iCs/>
      <w:color w:val="404040" w:themeColor="text1" w:themeTint="BF"/>
    </w:rPr>
  </w:style>
  <w:style w:type="paragraph" w:styleId="ListParagraph">
    <w:name w:val="List Paragraph"/>
    <w:basedOn w:val="Normal"/>
    <w:uiPriority w:val="34"/>
    <w:qFormat/>
    <w:rsid w:val="00B44372"/>
    <w:pPr>
      <w:ind w:left="720"/>
      <w:contextualSpacing/>
    </w:pPr>
  </w:style>
  <w:style w:type="character" w:styleId="IntenseEmphasis">
    <w:name w:val="Intense Emphasis"/>
    <w:basedOn w:val="DefaultParagraphFont"/>
    <w:uiPriority w:val="21"/>
    <w:qFormat/>
    <w:rsid w:val="00B44372"/>
    <w:rPr>
      <w:i/>
      <w:iCs/>
      <w:color w:val="0F4761" w:themeColor="accent1" w:themeShade="BF"/>
    </w:rPr>
  </w:style>
  <w:style w:type="paragraph" w:styleId="IntenseQuote">
    <w:name w:val="Intense Quote"/>
    <w:basedOn w:val="Normal"/>
    <w:next w:val="Normal"/>
    <w:link w:val="IntenseQuoteChar"/>
    <w:uiPriority w:val="30"/>
    <w:qFormat/>
    <w:rsid w:val="00B4437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44372"/>
    <w:rPr>
      <w:i/>
      <w:iCs/>
      <w:color w:val="0F4761" w:themeColor="accent1" w:themeShade="BF"/>
    </w:rPr>
  </w:style>
  <w:style w:type="character" w:styleId="IntenseReference">
    <w:name w:val="Intense Reference"/>
    <w:basedOn w:val="DefaultParagraphFont"/>
    <w:uiPriority w:val="32"/>
    <w:qFormat/>
    <w:rsid w:val="00B44372"/>
    <w:rPr>
      <w:b/>
      <w:bCs/>
      <w:smallCaps/>
      <w:color w:val="0F4761" w:themeColor="accent1" w:themeShade="BF"/>
      <w:spacing w:val="5"/>
    </w:rPr>
  </w:style>
  <w:style w:type="character" w:styleId="Hyperlink">
    <w:name w:val="Hyperlink"/>
    <w:basedOn w:val="DefaultParagraphFont"/>
    <w:uiPriority w:val="99"/>
    <w:unhideWhenUsed/>
    <w:rsid w:val="0015140F"/>
    <w:rPr>
      <w:color w:val="467886" w:themeColor="hyperlink"/>
      <w:u w:val="single"/>
    </w:rPr>
  </w:style>
  <w:style w:type="character" w:styleId="UnresolvedMention">
    <w:name w:val="Unresolved Mention"/>
    <w:basedOn w:val="DefaultParagraphFont"/>
    <w:uiPriority w:val="99"/>
    <w:semiHidden/>
    <w:unhideWhenUsed/>
    <w:rsid w:val="0015140F"/>
    <w:rPr>
      <w:color w:val="605E5C"/>
      <w:shd w:val="clear" w:color="auto" w:fill="E1DFDD"/>
    </w:rPr>
  </w:style>
  <w:style w:type="character" w:styleId="FollowedHyperlink">
    <w:name w:val="FollowedHyperlink"/>
    <w:basedOn w:val="DefaultParagraphFont"/>
    <w:uiPriority w:val="99"/>
    <w:semiHidden/>
    <w:unhideWhenUsed/>
    <w:rsid w:val="001514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A50BB-5704-4508-80B7-76B2441D8D32}"/>
</file>

<file path=customXml/itemProps2.xml><?xml version="1.0" encoding="utf-8"?>
<ds:datastoreItem xmlns:ds="http://schemas.openxmlformats.org/officeDocument/2006/customXml" ds:itemID="{B0D80AAE-E7B5-40E6-BAA2-0E607FE94DB3}"/>
</file>

<file path=customXml/itemProps3.xml><?xml version="1.0" encoding="utf-8"?>
<ds:datastoreItem xmlns:ds="http://schemas.openxmlformats.org/officeDocument/2006/customXml" ds:itemID="{6E1BC9D8-CE30-49DB-8769-74B44274E329}"/>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RULE</dc:creator>
  <cp:keywords/>
  <dc:description/>
  <cp:lastModifiedBy>Em Bulger</cp:lastModifiedBy>
  <cp:revision>21</cp:revision>
  <dcterms:created xsi:type="dcterms:W3CDTF">2026-08-06T01:30:00Z</dcterms:created>
  <dcterms:modified xsi:type="dcterms:W3CDTF">2026-08-20T03:56:34Z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