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16E7" w14:textId="4F71FCD1" w:rsidR="00F06874" w:rsidRPr="005E2E0B" w:rsidRDefault="0074616D" w:rsidP="0074616D">
      <w:pPr>
        <w:pStyle w:val="Title"/>
        <w:rPr>
          <w:rFonts w:ascii="Century Gothic" w:hAnsi="Century Gothic"/>
          <w:color w:val="0F4761" w:themeColor="accent1" w:themeShade="BF"/>
        </w:rPr>
      </w:pPr>
      <w:r w:rsidRPr="005E2E0B">
        <w:rPr>
          <w:rFonts w:ascii="Century Gothic" w:hAnsi="Century Gothic"/>
          <w:color w:val="0F4761" w:themeColor="accent1" w:themeShade="BF"/>
        </w:rPr>
        <w:t xml:space="preserve">Action Plan to Support </w:t>
      </w:r>
      <w:r w:rsidR="00421A07" w:rsidRPr="005E2E0B">
        <w:rPr>
          <w:rFonts w:ascii="Century Gothic" w:hAnsi="Century Gothic"/>
          <w:color w:val="0F4761" w:themeColor="accent1" w:themeShade="BF"/>
        </w:rPr>
        <w:t>Workforce</w:t>
      </w:r>
      <w:r w:rsidRPr="005E2E0B">
        <w:rPr>
          <w:rFonts w:ascii="Century Gothic" w:hAnsi="Century Gothic"/>
          <w:color w:val="0F4761" w:themeColor="accent1" w:themeShade="BF"/>
        </w:rPr>
        <w:t xml:space="preserve"> Through Reform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156"/>
        <w:gridCol w:w="3169"/>
        <w:gridCol w:w="3211"/>
        <w:gridCol w:w="3358"/>
        <w:gridCol w:w="2054"/>
      </w:tblGrid>
      <w:tr w:rsidR="00DB65F5" w:rsidRPr="005E2E0B" w14:paraId="73013CA3" w14:textId="12B60CF7" w:rsidTr="00A65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21A49D7F" w14:textId="62FCBF08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Focus area</w:t>
            </w:r>
          </w:p>
        </w:tc>
        <w:tc>
          <w:tcPr>
            <w:tcW w:w="3169" w:type="dxa"/>
          </w:tcPr>
          <w:p w14:paraId="433AD985" w14:textId="15397F55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Leadership expectations</w:t>
            </w:r>
          </w:p>
        </w:tc>
        <w:tc>
          <w:tcPr>
            <w:tcW w:w="3211" w:type="dxa"/>
          </w:tcPr>
          <w:p w14:paraId="43B788A0" w14:textId="59D6A928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Actions: </w:t>
            </w:r>
            <w:r w:rsidR="00FA426C" w:rsidRPr="005E2E0B">
              <w:rPr>
                <w:rFonts w:ascii="Century Gothic" w:hAnsi="Century Gothic"/>
              </w:rPr>
              <w:t>(</w:t>
            </w:r>
            <w:r w:rsidRPr="005E2E0B">
              <w:rPr>
                <w:rFonts w:ascii="Century Gothic" w:hAnsi="Century Gothic"/>
              </w:rPr>
              <w:t>Examples</w:t>
            </w:r>
            <w:r w:rsidR="00FA426C" w:rsidRPr="005E2E0B">
              <w:rPr>
                <w:rFonts w:ascii="Century Gothic" w:hAnsi="Century Gothic"/>
              </w:rPr>
              <w:t>)</w:t>
            </w:r>
            <w:r w:rsidRPr="005E2E0B">
              <w:rPr>
                <w:rFonts w:ascii="Century Gothic" w:hAnsi="Century Gothic"/>
              </w:rPr>
              <w:t xml:space="preserve"> what do we do well now? Where would we like to be? </w:t>
            </w:r>
          </w:p>
        </w:tc>
        <w:tc>
          <w:tcPr>
            <w:tcW w:w="3358" w:type="dxa"/>
          </w:tcPr>
          <w:p w14:paraId="5A4890FA" w14:textId="1B245619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Evidence/checkpoints</w:t>
            </w:r>
          </w:p>
        </w:tc>
        <w:tc>
          <w:tcPr>
            <w:tcW w:w="2054" w:type="dxa"/>
          </w:tcPr>
          <w:p w14:paraId="6D1C2496" w14:textId="755517D3" w:rsidR="00DB65F5" w:rsidRPr="005E2E0B" w:rsidDel="00246B1E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Progress</w:t>
            </w:r>
          </w:p>
        </w:tc>
      </w:tr>
      <w:tr w:rsidR="00DB65F5" w:rsidRPr="005E2E0B" w14:paraId="5D627043" w14:textId="54AF4B33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7CADC43A" w14:textId="3A17B219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</w:tcPr>
          <w:p w14:paraId="314DE56C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14673FEC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358" w:type="dxa"/>
          </w:tcPr>
          <w:p w14:paraId="580BF27C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63E4B486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48B6F65C" w14:textId="74E36682" w:rsidTr="00A65B6F">
        <w:tc>
          <w:tcPr>
            <w:tcW w:w="2156" w:type="dxa"/>
          </w:tcPr>
          <w:p w14:paraId="4EC19C36" w14:textId="27341073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Understand the Statement of Rights</w:t>
            </w:r>
          </w:p>
        </w:tc>
        <w:tc>
          <w:tcPr>
            <w:tcW w:w="3169" w:type="dxa"/>
          </w:tcPr>
          <w:p w14:paraId="7492A1E0" w14:textId="323D5F62" w:rsidR="00DB65F5" w:rsidRPr="005E2E0B" w:rsidRDefault="00C8669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Understand and promote</w:t>
            </w:r>
            <w:r w:rsidR="00DB65F5" w:rsidRPr="005E2E0B">
              <w:rPr>
                <w:rFonts w:ascii="Century Gothic" w:hAnsi="Century Gothic"/>
              </w:rPr>
              <w:t xml:space="preserve"> the Statement of Rights.</w:t>
            </w:r>
          </w:p>
        </w:tc>
        <w:tc>
          <w:tcPr>
            <w:tcW w:w="3211" w:type="dxa"/>
          </w:tcPr>
          <w:p w14:paraId="462716E0" w14:textId="2C514207" w:rsidR="007B7945" w:rsidRPr="005E2E0B" w:rsidRDefault="00DB65F5" w:rsidP="007B794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Review and discuss the statement of rights with team members.</w:t>
            </w:r>
          </w:p>
          <w:p w14:paraId="62C04BB8" w14:textId="77777777" w:rsidR="007B7945" w:rsidRPr="005E2E0B" w:rsidRDefault="0084103D" w:rsidP="007B794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Include rights-based discussions in supervision and onboarding.</w:t>
            </w:r>
          </w:p>
          <w:p w14:paraId="3858FB8C" w14:textId="5B72854A" w:rsidR="0084103D" w:rsidRPr="005E2E0B" w:rsidRDefault="001B19BC" w:rsidP="00A65B6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Communicate rights to </w:t>
            </w:r>
            <w:r w:rsidR="005E2E0B" w:rsidRPr="005E2E0B">
              <w:rPr>
                <w:rFonts w:ascii="Century Gothic" w:hAnsi="Century Gothic"/>
              </w:rPr>
              <w:t>Consumers</w:t>
            </w:r>
            <w:r w:rsidR="00877FD4" w:rsidRPr="005E2E0B">
              <w:rPr>
                <w:rFonts w:ascii="Century Gothic" w:hAnsi="Century Gothic"/>
              </w:rPr>
              <w:t xml:space="preserve"> through discussion, care planning and promotional material </w:t>
            </w:r>
            <w:r w:rsidR="009530FD" w:rsidRPr="005E2E0B">
              <w:rPr>
                <w:rFonts w:ascii="Century Gothic" w:hAnsi="Century Gothic"/>
              </w:rPr>
              <w:t xml:space="preserve">(i.e.: newsletters, website, </w:t>
            </w:r>
            <w:r w:rsidR="00AF24AA" w:rsidRPr="005E2E0B">
              <w:rPr>
                <w:rFonts w:ascii="Century Gothic" w:hAnsi="Century Gothic"/>
              </w:rPr>
              <w:t xml:space="preserve">onboarding packs and </w:t>
            </w:r>
            <w:r w:rsidR="009530FD" w:rsidRPr="005E2E0B">
              <w:rPr>
                <w:rFonts w:ascii="Century Gothic" w:hAnsi="Century Gothic"/>
              </w:rPr>
              <w:t>reception areas)</w:t>
            </w:r>
            <w:r w:rsidR="00C42BB1" w:rsidRPr="005E2E0B">
              <w:rPr>
                <w:rFonts w:ascii="Century Gothic" w:hAnsi="Century Gothic"/>
              </w:rPr>
              <w:t>.</w:t>
            </w:r>
          </w:p>
        </w:tc>
        <w:tc>
          <w:tcPr>
            <w:tcW w:w="3358" w:type="dxa"/>
          </w:tcPr>
          <w:p w14:paraId="77536BC5" w14:textId="46BB85EE" w:rsidR="00DB65F5" w:rsidRPr="005E2E0B" w:rsidRDefault="005E2E0B" w:rsidP="009B6A04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Workers</w:t>
            </w:r>
            <w:r w:rsidR="00DB65F5" w:rsidRPr="005E2E0B">
              <w:rPr>
                <w:rFonts w:ascii="Century Gothic" w:hAnsi="Century Gothic"/>
              </w:rPr>
              <w:t xml:space="preserve"> can describe the Statement of Rights and how it applies in their roles.</w:t>
            </w:r>
          </w:p>
          <w:p w14:paraId="495DF2EA" w14:textId="77777777" w:rsidR="00DB65F5" w:rsidRPr="005E2E0B" w:rsidRDefault="00DB65F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Rights are embedded in induction and ongoing learning plans.</w:t>
            </w:r>
          </w:p>
          <w:p w14:paraId="5C5F24FE" w14:textId="1637386A" w:rsidR="00AF24AA" w:rsidRPr="005E2E0B" w:rsidRDefault="005E2E0B" w:rsidP="00A65B6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Consumers</w:t>
            </w:r>
            <w:r w:rsidR="00A8389C" w:rsidRPr="005E2E0B">
              <w:rPr>
                <w:rFonts w:ascii="Century Gothic" w:hAnsi="Century Gothic"/>
              </w:rPr>
              <w:t xml:space="preserve"> report that they have been informed of their rights</w:t>
            </w:r>
          </w:p>
        </w:tc>
        <w:tc>
          <w:tcPr>
            <w:tcW w:w="2054" w:type="dxa"/>
          </w:tcPr>
          <w:p w14:paraId="52E0750C" w14:textId="77777777" w:rsidR="00DB65F5" w:rsidRPr="005E2E0B" w:rsidRDefault="00DB65F5" w:rsidP="00A65B6F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</w:tr>
      <w:tr w:rsidR="00DB65F5" w:rsidRPr="005E2E0B" w14:paraId="2196330C" w14:textId="3AC90D7D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3EA62A0A" w14:textId="4B4076E9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</w:tcPr>
          <w:p w14:paraId="07A79DB9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445A7EC0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358" w:type="dxa"/>
          </w:tcPr>
          <w:p w14:paraId="5EBD5C99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4E173F57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1A7D2E31" w14:textId="00316AA7" w:rsidTr="00A65B6F">
        <w:tc>
          <w:tcPr>
            <w:tcW w:w="2156" w:type="dxa"/>
          </w:tcPr>
          <w:p w14:paraId="52156856" w14:textId="445EC927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Embed Diversity, Equity and Inclusion (DEI) in policies and procedures</w:t>
            </w:r>
          </w:p>
        </w:tc>
        <w:tc>
          <w:tcPr>
            <w:tcW w:w="3169" w:type="dxa"/>
          </w:tcPr>
          <w:p w14:paraId="1A509E8F" w14:textId="59D4D9B6" w:rsidR="00BC0816" w:rsidRPr="005E2E0B" w:rsidRDefault="00BC0816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DEI principles are embedded in organisational policies, practices, and culture.</w:t>
            </w:r>
          </w:p>
        </w:tc>
        <w:tc>
          <w:tcPr>
            <w:tcW w:w="3211" w:type="dxa"/>
          </w:tcPr>
          <w:p w14:paraId="0D04E07C" w14:textId="0EC0A2BD" w:rsidR="00A06594" w:rsidRPr="005E2E0B" w:rsidRDefault="00DB65F5" w:rsidP="00A65B6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Creat</w:t>
            </w:r>
            <w:r w:rsidR="000507CE" w:rsidRPr="005E2E0B">
              <w:rPr>
                <w:rFonts w:ascii="Century Gothic" w:hAnsi="Century Gothic"/>
              </w:rPr>
              <w:t>e or update</w:t>
            </w:r>
            <w:r w:rsidRPr="005E2E0B">
              <w:rPr>
                <w:rFonts w:ascii="Century Gothic" w:hAnsi="Century Gothic"/>
              </w:rPr>
              <w:t xml:space="preserve"> DEI policies</w:t>
            </w:r>
          </w:p>
          <w:p w14:paraId="71795E86" w14:textId="73A971AF" w:rsidR="00A06594" w:rsidRPr="005E2E0B" w:rsidRDefault="000507CE" w:rsidP="00A65B6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Offer regular DEI training </w:t>
            </w:r>
            <w:r w:rsidR="00D41E94" w:rsidRPr="005E2E0B">
              <w:rPr>
                <w:rFonts w:ascii="Century Gothic" w:hAnsi="Century Gothic"/>
              </w:rPr>
              <w:t>for</w:t>
            </w:r>
            <w:r w:rsidRPr="005E2E0B">
              <w:rPr>
                <w:rFonts w:ascii="Century Gothic" w:hAnsi="Century Gothic"/>
              </w:rPr>
              <w:t xml:space="preserve"> </w:t>
            </w:r>
            <w:r w:rsidR="00D41E94" w:rsidRPr="005E2E0B">
              <w:rPr>
                <w:rFonts w:ascii="Century Gothic" w:hAnsi="Century Gothic"/>
              </w:rPr>
              <w:t xml:space="preserve">the </w:t>
            </w:r>
            <w:r w:rsidR="00A06594" w:rsidRPr="005E2E0B">
              <w:rPr>
                <w:rFonts w:ascii="Century Gothic" w:hAnsi="Century Gothic"/>
              </w:rPr>
              <w:t>workforce</w:t>
            </w:r>
            <w:r w:rsidR="00D41E94" w:rsidRPr="005E2E0B">
              <w:rPr>
                <w:rFonts w:ascii="Century Gothic" w:hAnsi="Century Gothic"/>
              </w:rPr>
              <w:t xml:space="preserve"> that supports the communities identified in the Aged Care Act</w:t>
            </w:r>
          </w:p>
          <w:p w14:paraId="21DF9C55" w14:textId="3D65479E" w:rsidR="000507CE" w:rsidRPr="005E2E0B" w:rsidRDefault="000507CE" w:rsidP="00A65B6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Ensure inclusive recruitment and workplace practices.</w:t>
            </w:r>
          </w:p>
        </w:tc>
        <w:tc>
          <w:tcPr>
            <w:tcW w:w="3358" w:type="dxa"/>
          </w:tcPr>
          <w:p w14:paraId="1CDEB8EF" w14:textId="77777777" w:rsidR="000507CE" w:rsidRPr="005E2E0B" w:rsidRDefault="00822490" w:rsidP="000507C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Policies reflect commitment to DEI and link to person-centred care.</w:t>
            </w:r>
          </w:p>
          <w:p w14:paraId="2D931930" w14:textId="3006D27D" w:rsidR="00DB65F5" w:rsidRPr="005E2E0B" w:rsidRDefault="00822490" w:rsidP="00A65B6F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Diverse </w:t>
            </w:r>
            <w:r w:rsidR="005E2E0B" w:rsidRPr="005E2E0B">
              <w:rPr>
                <w:rFonts w:ascii="Century Gothic" w:hAnsi="Century Gothic"/>
              </w:rPr>
              <w:t>Workers</w:t>
            </w:r>
            <w:r w:rsidRPr="005E2E0B">
              <w:rPr>
                <w:rFonts w:ascii="Century Gothic" w:hAnsi="Century Gothic"/>
              </w:rPr>
              <w:t xml:space="preserve"> and </w:t>
            </w:r>
            <w:r w:rsidR="005E2E0B">
              <w:rPr>
                <w:rFonts w:ascii="Century Gothic" w:hAnsi="Century Gothic"/>
              </w:rPr>
              <w:t>Consumers</w:t>
            </w:r>
            <w:r w:rsidRPr="005E2E0B">
              <w:rPr>
                <w:rFonts w:ascii="Century Gothic" w:hAnsi="Century Gothic"/>
              </w:rPr>
              <w:t xml:space="preserve"> feel respected and heard.</w:t>
            </w:r>
          </w:p>
        </w:tc>
        <w:tc>
          <w:tcPr>
            <w:tcW w:w="2054" w:type="dxa"/>
          </w:tcPr>
          <w:p w14:paraId="02D54643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2800FD60" w14:textId="09390FDB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6410D498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</w:tcPr>
          <w:p w14:paraId="74B8A548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6AA9A1BB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358" w:type="dxa"/>
          </w:tcPr>
          <w:p w14:paraId="08AE7667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6D21F03D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53E9C2A8" w14:textId="060E466F" w:rsidTr="00A65B6F">
        <w:tc>
          <w:tcPr>
            <w:tcW w:w="2156" w:type="dxa"/>
          </w:tcPr>
          <w:p w14:paraId="4EC2C5F7" w14:textId="3AFB6D49" w:rsidR="00DB65F5" w:rsidRPr="005E2E0B" w:rsidRDefault="00D41E94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Undertake d</w:t>
            </w:r>
            <w:r w:rsidR="00DB65F5" w:rsidRPr="005E2E0B">
              <w:rPr>
                <w:rFonts w:ascii="Century Gothic" w:hAnsi="Century Gothic"/>
              </w:rPr>
              <w:t xml:space="preserve">ata </w:t>
            </w:r>
            <w:r w:rsidR="00F02152" w:rsidRPr="005E2E0B">
              <w:rPr>
                <w:rFonts w:ascii="Century Gothic" w:hAnsi="Century Gothic"/>
              </w:rPr>
              <w:t xml:space="preserve">collection, </w:t>
            </w:r>
            <w:r w:rsidRPr="005E2E0B">
              <w:rPr>
                <w:rFonts w:ascii="Century Gothic" w:hAnsi="Century Gothic"/>
              </w:rPr>
              <w:t>w</w:t>
            </w:r>
            <w:r w:rsidR="00F02152" w:rsidRPr="005E2E0B">
              <w:rPr>
                <w:rFonts w:ascii="Century Gothic" w:hAnsi="Century Gothic"/>
              </w:rPr>
              <w:t xml:space="preserve">orkforce </w:t>
            </w:r>
            <w:r w:rsidRPr="005E2E0B">
              <w:rPr>
                <w:rFonts w:ascii="Century Gothic" w:hAnsi="Century Gothic"/>
              </w:rPr>
              <w:t>c</w:t>
            </w:r>
            <w:r w:rsidR="00F02152" w:rsidRPr="005E2E0B">
              <w:rPr>
                <w:rFonts w:ascii="Century Gothic" w:hAnsi="Century Gothic"/>
              </w:rPr>
              <w:t xml:space="preserve">apability, and </w:t>
            </w:r>
            <w:r w:rsidRPr="005E2E0B">
              <w:rPr>
                <w:rFonts w:ascii="Century Gothic" w:hAnsi="Century Gothic"/>
              </w:rPr>
              <w:t>q</w:t>
            </w:r>
            <w:r w:rsidR="00F02152" w:rsidRPr="005E2E0B">
              <w:rPr>
                <w:rFonts w:ascii="Century Gothic" w:hAnsi="Century Gothic"/>
              </w:rPr>
              <w:t xml:space="preserve">uality </w:t>
            </w:r>
            <w:r w:rsidRPr="005E2E0B">
              <w:rPr>
                <w:rFonts w:ascii="Century Gothic" w:hAnsi="Century Gothic"/>
              </w:rPr>
              <w:t>i</w:t>
            </w:r>
            <w:r w:rsidR="00F02152" w:rsidRPr="005E2E0B">
              <w:rPr>
                <w:rFonts w:ascii="Century Gothic" w:hAnsi="Century Gothic"/>
              </w:rPr>
              <w:t>mprovement</w:t>
            </w:r>
          </w:p>
        </w:tc>
        <w:tc>
          <w:tcPr>
            <w:tcW w:w="3169" w:type="dxa"/>
          </w:tcPr>
          <w:p w14:paraId="21317FCF" w14:textId="468C9121" w:rsidR="0099529D" w:rsidRPr="005E2E0B" w:rsidRDefault="0099529D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Monitor, evaluate, and improve </w:t>
            </w:r>
            <w:r w:rsidR="00D41E94" w:rsidRPr="005E2E0B">
              <w:rPr>
                <w:rFonts w:ascii="Century Gothic" w:hAnsi="Century Gothic"/>
              </w:rPr>
              <w:t xml:space="preserve">service planning and delivery </w:t>
            </w:r>
            <w:r w:rsidRPr="005E2E0B">
              <w:rPr>
                <w:rFonts w:ascii="Century Gothic" w:hAnsi="Century Gothic"/>
              </w:rPr>
              <w:t xml:space="preserve">through </w:t>
            </w:r>
            <w:r w:rsidR="00D41E94" w:rsidRPr="005E2E0B">
              <w:rPr>
                <w:rFonts w:ascii="Century Gothic" w:hAnsi="Century Gothic"/>
              </w:rPr>
              <w:t>available</w:t>
            </w:r>
            <w:r w:rsidRPr="005E2E0B">
              <w:rPr>
                <w:rFonts w:ascii="Century Gothic" w:hAnsi="Century Gothic"/>
              </w:rPr>
              <w:t xml:space="preserve"> data</w:t>
            </w:r>
            <w:r w:rsidR="00D41E94" w:rsidRPr="005E2E0B">
              <w:rPr>
                <w:rFonts w:ascii="Century Gothic" w:hAnsi="Century Gothic"/>
              </w:rPr>
              <w:t>,</w:t>
            </w:r>
            <w:r w:rsidRPr="005E2E0B">
              <w:rPr>
                <w:rFonts w:ascii="Century Gothic" w:hAnsi="Century Gothic"/>
              </w:rPr>
              <w:t xml:space="preserve"> workforce development</w:t>
            </w:r>
            <w:r w:rsidR="00D41E94" w:rsidRPr="005E2E0B">
              <w:rPr>
                <w:rFonts w:ascii="Century Gothic" w:hAnsi="Century Gothic"/>
              </w:rPr>
              <w:t xml:space="preserve"> and continuous quality improvement.</w:t>
            </w:r>
          </w:p>
        </w:tc>
        <w:tc>
          <w:tcPr>
            <w:tcW w:w="3211" w:type="dxa"/>
          </w:tcPr>
          <w:p w14:paraId="11EC8969" w14:textId="71B35C53" w:rsidR="00476963" w:rsidRPr="005E2E0B" w:rsidRDefault="00476963" w:rsidP="00D41E94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Use data to inform service planning and delivery, and quality improvement</w:t>
            </w:r>
            <w:r w:rsidRPr="005E2E0B" w:rsidDel="00D41E94">
              <w:rPr>
                <w:rFonts w:ascii="Century Gothic" w:hAnsi="Century Gothic"/>
              </w:rPr>
              <w:t xml:space="preserve"> </w:t>
            </w:r>
          </w:p>
          <w:p w14:paraId="4BEEDBB5" w14:textId="7A2E362A" w:rsidR="00493690" w:rsidRPr="005E2E0B" w:rsidRDefault="00493690" w:rsidP="00A65B6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Collect data on </w:t>
            </w:r>
            <w:r w:rsidR="005E2E0B">
              <w:rPr>
                <w:rFonts w:ascii="Century Gothic" w:hAnsi="Century Gothic"/>
              </w:rPr>
              <w:t>Consumer</w:t>
            </w:r>
            <w:r w:rsidRPr="005E2E0B">
              <w:rPr>
                <w:rFonts w:ascii="Century Gothic" w:hAnsi="Century Gothic"/>
              </w:rPr>
              <w:t xml:space="preserve"> outcomes, experiences, and DEI indicators.</w:t>
            </w:r>
          </w:p>
          <w:p w14:paraId="0300E1F9" w14:textId="10D0A7AE" w:rsidR="00493690" w:rsidRPr="005E2E0B" w:rsidRDefault="00493690" w:rsidP="00A65B6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Regularly assess </w:t>
            </w:r>
            <w:r w:rsidR="005E2E0B" w:rsidRPr="005E2E0B">
              <w:rPr>
                <w:rFonts w:ascii="Century Gothic" w:hAnsi="Century Gothic"/>
              </w:rPr>
              <w:t>Worker</w:t>
            </w:r>
            <w:r w:rsidRPr="005E2E0B">
              <w:rPr>
                <w:rFonts w:ascii="Century Gothic" w:hAnsi="Century Gothic"/>
              </w:rPr>
              <w:t xml:space="preserve"> learning needs.</w:t>
            </w:r>
          </w:p>
        </w:tc>
        <w:tc>
          <w:tcPr>
            <w:tcW w:w="3358" w:type="dxa"/>
          </w:tcPr>
          <w:p w14:paraId="73319E42" w14:textId="446BB9F4" w:rsidR="00DB65F5" w:rsidRPr="005E2E0B" w:rsidRDefault="00566CA6" w:rsidP="00A65B6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Quality improvement plans include indicators</w:t>
            </w:r>
            <w:r w:rsidR="00476963" w:rsidRPr="005E2E0B">
              <w:rPr>
                <w:rFonts w:ascii="Century Gothic" w:hAnsi="Century Gothic"/>
              </w:rPr>
              <w:t xml:space="preserve"> to ensure DEI is addressed as part of reform readiness.</w:t>
            </w:r>
          </w:p>
        </w:tc>
        <w:tc>
          <w:tcPr>
            <w:tcW w:w="2054" w:type="dxa"/>
          </w:tcPr>
          <w:p w14:paraId="6CB0C273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059EBAA7" w14:textId="513292F4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18D1AC69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</w:tcPr>
          <w:p w14:paraId="3ECFE75A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48EB3A2C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358" w:type="dxa"/>
          </w:tcPr>
          <w:p w14:paraId="03238B2C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1C3C7F6D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7BD5F7B7" w14:textId="03B3540B" w:rsidTr="00A65B6F">
        <w:tc>
          <w:tcPr>
            <w:tcW w:w="2156" w:type="dxa"/>
          </w:tcPr>
          <w:p w14:paraId="493166F4" w14:textId="6DBD5F5E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9738" w:type="dxa"/>
            <w:gridSpan w:val="3"/>
          </w:tcPr>
          <w:p w14:paraId="412321D6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11ABE63E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03444D93" w14:textId="2C2ABEB0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268C2533" w14:textId="5224CD95" w:rsidR="00DB65F5" w:rsidRPr="005E2E0B" w:rsidRDefault="00481FA2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Operationalising </w:t>
            </w:r>
            <w:r w:rsidR="00DB65F5" w:rsidRPr="005E2E0B">
              <w:rPr>
                <w:rFonts w:ascii="Century Gothic" w:hAnsi="Century Gothic"/>
              </w:rPr>
              <w:t xml:space="preserve">rights-based </w:t>
            </w:r>
            <w:r w:rsidRPr="005E2E0B">
              <w:rPr>
                <w:rFonts w:ascii="Century Gothic" w:hAnsi="Century Gothic"/>
              </w:rPr>
              <w:t xml:space="preserve">and </w:t>
            </w:r>
            <w:r w:rsidR="002E0938" w:rsidRPr="005E2E0B">
              <w:rPr>
                <w:rFonts w:ascii="Century Gothic" w:hAnsi="Century Gothic"/>
              </w:rPr>
              <w:t>person-centred</w:t>
            </w:r>
            <w:r w:rsidRPr="005E2E0B">
              <w:rPr>
                <w:rFonts w:ascii="Century Gothic" w:hAnsi="Century Gothic"/>
              </w:rPr>
              <w:t xml:space="preserve"> care</w:t>
            </w:r>
          </w:p>
        </w:tc>
        <w:tc>
          <w:tcPr>
            <w:tcW w:w="3169" w:type="dxa"/>
          </w:tcPr>
          <w:p w14:paraId="697BEF70" w14:textId="40224106" w:rsidR="00DB65F5" w:rsidRPr="005E2E0B" w:rsidRDefault="00A24493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Embed rights-based and person-centred approaches into everyday practice.</w:t>
            </w:r>
            <w:r w:rsidR="00DB65F5" w:rsidRPr="005E2E0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211" w:type="dxa"/>
          </w:tcPr>
          <w:p w14:paraId="16583CAA" w14:textId="3A8D5FD8" w:rsidR="00476963" w:rsidRPr="005E2E0B" w:rsidRDefault="00693910" w:rsidP="00A65B6F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Link care planning to individual goals, preferences, and rights.</w:t>
            </w:r>
          </w:p>
          <w:p w14:paraId="2AB1408D" w14:textId="5A6959EC" w:rsidR="00476963" w:rsidRPr="005E2E0B" w:rsidRDefault="00693910" w:rsidP="00476963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Use </w:t>
            </w:r>
            <w:r w:rsidR="00476963" w:rsidRPr="005E2E0B">
              <w:rPr>
                <w:rFonts w:ascii="Century Gothic" w:hAnsi="Century Gothic"/>
              </w:rPr>
              <w:t xml:space="preserve">de-identified </w:t>
            </w:r>
            <w:r w:rsidRPr="005E2E0B">
              <w:rPr>
                <w:rFonts w:ascii="Century Gothic" w:hAnsi="Century Gothic"/>
              </w:rPr>
              <w:t xml:space="preserve">case </w:t>
            </w:r>
            <w:r w:rsidR="00476963" w:rsidRPr="005E2E0B">
              <w:rPr>
                <w:rFonts w:ascii="Century Gothic" w:hAnsi="Century Gothic"/>
              </w:rPr>
              <w:t>studies</w:t>
            </w:r>
            <w:r w:rsidRPr="005E2E0B">
              <w:rPr>
                <w:rFonts w:ascii="Century Gothic" w:hAnsi="Century Gothic"/>
              </w:rPr>
              <w:t xml:space="preserve"> to </w:t>
            </w:r>
            <w:r w:rsidR="00476963" w:rsidRPr="005E2E0B">
              <w:rPr>
                <w:rFonts w:ascii="Century Gothic" w:hAnsi="Century Gothic"/>
              </w:rPr>
              <w:t xml:space="preserve">support reflective practice, highlighting rights in action </w:t>
            </w:r>
          </w:p>
          <w:p w14:paraId="529D9AB1" w14:textId="0F636AD6" w:rsidR="00693910" w:rsidRPr="005E2E0B" w:rsidRDefault="00693910" w:rsidP="00A65B6F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Involve </w:t>
            </w:r>
            <w:r w:rsidR="005E2E0B">
              <w:rPr>
                <w:rFonts w:ascii="Century Gothic" w:hAnsi="Century Gothic"/>
              </w:rPr>
              <w:t>Consumers</w:t>
            </w:r>
            <w:r w:rsidRPr="005E2E0B">
              <w:rPr>
                <w:rFonts w:ascii="Century Gothic" w:hAnsi="Century Gothic"/>
              </w:rPr>
              <w:t xml:space="preserve"> in decision-making at all stages.</w:t>
            </w:r>
          </w:p>
        </w:tc>
        <w:tc>
          <w:tcPr>
            <w:tcW w:w="3358" w:type="dxa"/>
          </w:tcPr>
          <w:p w14:paraId="748EA999" w14:textId="25EA5449" w:rsidR="00033194" w:rsidRPr="005E2E0B" w:rsidRDefault="00033194" w:rsidP="00A65B6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Care records show </w:t>
            </w:r>
            <w:r w:rsidR="005E2E0B">
              <w:rPr>
                <w:rFonts w:ascii="Century Gothic" w:hAnsi="Century Gothic"/>
              </w:rPr>
              <w:t>Consumer</w:t>
            </w:r>
            <w:r w:rsidRPr="005E2E0B">
              <w:rPr>
                <w:rFonts w:ascii="Century Gothic" w:hAnsi="Century Gothic"/>
              </w:rPr>
              <w:t xml:space="preserve"> voice, choice, and control.</w:t>
            </w:r>
          </w:p>
          <w:p w14:paraId="7C331390" w14:textId="4C532888" w:rsidR="00DB65F5" w:rsidRPr="005E2E0B" w:rsidRDefault="005E2E0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Workers</w:t>
            </w:r>
            <w:r w:rsidR="00033194" w:rsidRPr="005E2E0B">
              <w:rPr>
                <w:rFonts w:ascii="Century Gothic" w:hAnsi="Century Gothic"/>
              </w:rPr>
              <w:t xml:space="preserve"> can describe what a </w:t>
            </w:r>
            <w:r w:rsidR="002E0938" w:rsidRPr="005E2E0B">
              <w:rPr>
                <w:rFonts w:ascii="Century Gothic" w:hAnsi="Century Gothic"/>
              </w:rPr>
              <w:t>rights-based</w:t>
            </w:r>
            <w:r w:rsidR="00033194" w:rsidRPr="005E2E0B">
              <w:rPr>
                <w:rFonts w:ascii="Century Gothic" w:hAnsi="Century Gothic"/>
              </w:rPr>
              <w:t xml:space="preserve"> approach</w:t>
            </w:r>
            <w:r w:rsidR="0027087D" w:rsidRPr="005E2E0B">
              <w:rPr>
                <w:rFonts w:ascii="Century Gothic" w:hAnsi="Century Gothic"/>
              </w:rPr>
              <w:t xml:space="preserve"> is</w:t>
            </w:r>
            <w:r w:rsidR="00033194" w:rsidRPr="005E2E0B">
              <w:rPr>
                <w:rFonts w:ascii="Century Gothic" w:hAnsi="Century Gothic"/>
              </w:rPr>
              <w:t xml:space="preserve"> and </w:t>
            </w:r>
            <w:r w:rsidR="007155B8" w:rsidRPr="005E2E0B">
              <w:rPr>
                <w:rFonts w:ascii="Century Gothic" w:hAnsi="Century Gothic"/>
              </w:rPr>
              <w:t xml:space="preserve">what </w:t>
            </w:r>
            <w:r w:rsidR="00033194" w:rsidRPr="005E2E0B">
              <w:rPr>
                <w:rFonts w:ascii="Century Gothic" w:hAnsi="Century Gothic"/>
              </w:rPr>
              <w:t>person-centred care means in their role</w:t>
            </w:r>
          </w:p>
          <w:p w14:paraId="49CCC704" w14:textId="527926ED" w:rsidR="007155B8" w:rsidRPr="005E2E0B" w:rsidRDefault="005E2E0B" w:rsidP="00A65B6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Consumers</w:t>
            </w:r>
            <w:r w:rsidR="007155B8" w:rsidRPr="005E2E0B">
              <w:rPr>
                <w:rFonts w:ascii="Century Gothic" w:hAnsi="Century Gothic"/>
              </w:rPr>
              <w:t xml:space="preserve"> report </w:t>
            </w:r>
            <w:r w:rsidR="00EF5F05" w:rsidRPr="005E2E0B">
              <w:rPr>
                <w:rFonts w:ascii="Century Gothic" w:hAnsi="Century Gothic"/>
              </w:rPr>
              <w:t>that are involved in decision making and their rights are supported</w:t>
            </w:r>
          </w:p>
        </w:tc>
        <w:tc>
          <w:tcPr>
            <w:tcW w:w="2054" w:type="dxa"/>
          </w:tcPr>
          <w:p w14:paraId="7EE23BA7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1B20FA1C" w14:textId="420E9735" w:rsidTr="00A65B6F">
        <w:tc>
          <w:tcPr>
            <w:tcW w:w="2156" w:type="dxa"/>
          </w:tcPr>
          <w:p w14:paraId="0EB72382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</w:tcPr>
          <w:p w14:paraId="22D9DA9D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1AA48F35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358" w:type="dxa"/>
          </w:tcPr>
          <w:p w14:paraId="36169362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44CB95C2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096843BD" w14:textId="7EB5EDDD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5DF1BA42" w14:textId="7138D472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Cultural competency </w:t>
            </w:r>
            <w:r w:rsidR="002E0938" w:rsidRPr="005E2E0B">
              <w:rPr>
                <w:rFonts w:ascii="Century Gothic" w:hAnsi="Century Gothic"/>
              </w:rPr>
              <w:t xml:space="preserve">- </w:t>
            </w:r>
            <w:r w:rsidRPr="005E2E0B">
              <w:rPr>
                <w:rFonts w:ascii="Century Gothic" w:hAnsi="Century Gothic"/>
              </w:rPr>
              <w:t xml:space="preserve">toward cultural safety </w:t>
            </w:r>
          </w:p>
        </w:tc>
        <w:tc>
          <w:tcPr>
            <w:tcW w:w="3169" w:type="dxa"/>
          </w:tcPr>
          <w:p w14:paraId="322CF74D" w14:textId="6BD2E208" w:rsidR="00DB65F5" w:rsidRPr="005E2E0B" w:rsidRDefault="002E0938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Build and promote a culturally safe environment</w:t>
            </w:r>
            <w:r w:rsidR="00DB65F5" w:rsidRPr="005E2E0B">
              <w:rPr>
                <w:rFonts w:ascii="Century Gothic" w:hAnsi="Century Gothic"/>
              </w:rPr>
              <w:t xml:space="preserve"> </w:t>
            </w:r>
            <w:r w:rsidRPr="005E2E0B">
              <w:rPr>
                <w:rFonts w:ascii="Century Gothic" w:hAnsi="Century Gothic"/>
              </w:rPr>
              <w:t xml:space="preserve">within service planning and delivery. </w:t>
            </w:r>
          </w:p>
          <w:p w14:paraId="539595DC" w14:textId="77777777" w:rsidR="002E0938" w:rsidRPr="005E2E0B" w:rsidRDefault="002E0938" w:rsidP="00F06874">
            <w:pPr>
              <w:rPr>
                <w:rFonts w:ascii="Century Gothic" w:hAnsi="Century Gothic"/>
              </w:rPr>
            </w:pPr>
          </w:p>
          <w:p w14:paraId="1D836699" w14:textId="6442B6A8" w:rsidR="001828A2" w:rsidRPr="005E2E0B" w:rsidRDefault="002E0938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lastRenderedPageBreak/>
              <w:t>S</w:t>
            </w:r>
            <w:r w:rsidR="001828A2" w:rsidRPr="005E2E0B">
              <w:rPr>
                <w:rFonts w:ascii="Century Gothic" w:hAnsi="Century Gothic"/>
              </w:rPr>
              <w:t>upport culturally safe care through modelling and capacity-building.</w:t>
            </w:r>
          </w:p>
        </w:tc>
        <w:tc>
          <w:tcPr>
            <w:tcW w:w="3211" w:type="dxa"/>
          </w:tcPr>
          <w:p w14:paraId="17BBAE48" w14:textId="7DFD4DBF" w:rsidR="002E0938" w:rsidRPr="005E2E0B" w:rsidRDefault="00FA488C" w:rsidP="00A65B6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lastRenderedPageBreak/>
              <w:t xml:space="preserve">Provide training </w:t>
            </w:r>
            <w:r w:rsidR="002E0938" w:rsidRPr="005E2E0B">
              <w:rPr>
                <w:rFonts w:ascii="Century Gothic" w:hAnsi="Century Gothic"/>
              </w:rPr>
              <w:t>focused on culturally safe service delivery.</w:t>
            </w:r>
          </w:p>
          <w:p w14:paraId="187C8091" w14:textId="2C76480A" w:rsidR="00FA488C" w:rsidRPr="005E2E0B" w:rsidRDefault="00FA488C" w:rsidP="00A65B6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Encourage reflective practice and learning from lived</w:t>
            </w:r>
            <w:r w:rsidR="002E0938" w:rsidRPr="005E2E0B">
              <w:rPr>
                <w:rFonts w:ascii="Century Gothic" w:hAnsi="Century Gothic"/>
              </w:rPr>
              <w:t>/living</w:t>
            </w:r>
            <w:r w:rsidRPr="005E2E0B">
              <w:rPr>
                <w:rFonts w:ascii="Century Gothic" w:hAnsi="Century Gothic"/>
              </w:rPr>
              <w:t xml:space="preserve"> experiences.</w:t>
            </w:r>
          </w:p>
          <w:p w14:paraId="5503AF48" w14:textId="6F20CA19" w:rsidR="00FA488C" w:rsidRPr="005E2E0B" w:rsidRDefault="00FA488C" w:rsidP="00A65B6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lastRenderedPageBreak/>
              <w:t xml:space="preserve">Involve </w:t>
            </w:r>
            <w:r w:rsidR="005E2E0B">
              <w:rPr>
                <w:rFonts w:ascii="Century Gothic" w:hAnsi="Century Gothic"/>
              </w:rPr>
              <w:t>Consumers</w:t>
            </w:r>
            <w:r w:rsidRPr="005E2E0B">
              <w:rPr>
                <w:rFonts w:ascii="Century Gothic" w:hAnsi="Century Gothic"/>
              </w:rPr>
              <w:t xml:space="preserve"> and communities in co-designing culturally </w:t>
            </w:r>
            <w:r w:rsidR="0020143A" w:rsidRPr="005E2E0B">
              <w:rPr>
                <w:rFonts w:ascii="Century Gothic" w:hAnsi="Century Gothic"/>
              </w:rPr>
              <w:t>affirming</w:t>
            </w:r>
            <w:r w:rsidRPr="005E2E0B">
              <w:rPr>
                <w:rFonts w:ascii="Century Gothic" w:hAnsi="Century Gothic"/>
              </w:rPr>
              <w:t xml:space="preserve"> </w:t>
            </w:r>
            <w:r w:rsidR="000B33CA" w:rsidRPr="005E2E0B">
              <w:rPr>
                <w:rFonts w:ascii="Century Gothic" w:hAnsi="Century Gothic"/>
              </w:rPr>
              <w:t xml:space="preserve">and safe </w:t>
            </w:r>
            <w:r w:rsidRPr="005E2E0B">
              <w:rPr>
                <w:rFonts w:ascii="Century Gothic" w:hAnsi="Century Gothic"/>
              </w:rPr>
              <w:t>care</w:t>
            </w:r>
          </w:p>
        </w:tc>
        <w:tc>
          <w:tcPr>
            <w:tcW w:w="3358" w:type="dxa"/>
          </w:tcPr>
          <w:p w14:paraId="4A3F6ED0" w14:textId="11101ECB" w:rsidR="00454814" w:rsidRPr="005E2E0B" w:rsidRDefault="005E2E0B" w:rsidP="00A65B6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lastRenderedPageBreak/>
              <w:t>Workers</w:t>
            </w:r>
            <w:r w:rsidR="00454814" w:rsidRPr="005E2E0B">
              <w:rPr>
                <w:rFonts w:ascii="Century Gothic" w:hAnsi="Century Gothic"/>
              </w:rPr>
              <w:t xml:space="preserve"> demonstrate culturally safe care.</w:t>
            </w:r>
          </w:p>
          <w:p w14:paraId="264E30D7" w14:textId="40DA43C6" w:rsidR="00DB65F5" w:rsidRPr="005E2E0B" w:rsidRDefault="005E2E0B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Consumer</w:t>
            </w:r>
            <w:r w:rsidR="00454814" w:rsidRPr="005E2E0B">
              <w:rPr>
                <w:rFonts w:ascii="Century Gothic" w:hAnsi="Century Gothic"/>
              </w:rPr>
              <w:t xml:space="preserve"> feedback reflects</w:t>
            </w:r>
            <w:r w:rsidR="00E526E7" w:rsidRPr="005E2E0B">
              <w:rPr>
                <w:rFonts w:ascii="Century Gothic" w:hAnsi="Century Gothic"/>
              </w:rPr>
              <w:t xml:space="preserve"> they feel </w:t>
            </w:r>
            <w:r w:rsidR="000B33CA" w:rsidRPr="005E2E0B">
              <w:rPr>
                <w:rFonts w:ascii="Century Gothic" w:hAnsi="Century Gothic"/>
              </w:rPr>
              <w:t>safe,</w:t>
            </w:r>
            <w:r w:rsidR="00E526E7" w:rsidRPr="005E2E0B">
              <w:rPr>
                <w:rFonts w:ascii="Century Gothic" w:hAnsi="Century Gothic"/>
              </w:rPr>
              <w:t xml:space="preserve"> and their</w:t>
            </w:r>
            <w:r w:rsidR="00454814" w:rsidRPr="005E2E0B">
              <w:rPr>
                <w:rFonts w:ascii="Century Gothic" w:hAnsi="Century Gothic"/>
              </w:rPr>
              <w:t xml:space="preserve"> cultural needs are met.</w:t>
            </w:r>
          </w:p>
          <w:p w14:paraId="06D73F66" w14:textId="15BC1093" w:rsidR="000B33CA" w:rsidRPr="005E2E0B" w:rsidRDefault="000B33CA" w:rsidP="000B33CA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247329DA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6053DD2E" w14:textId="3DD35E07" w:rsidTr="00A65B6F">
        <w:tc>
          <w:tcPr>
            <w:tcW w:w="2156" w:type="dxa"/>
          </w:tcPr>
          <w:p w14:paraId="44C3408C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</w:tcPr>
          <w:p w14:paraId="11902735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211" w:type="dxa"/>
          </w:tcPr>
          <w:p w14:paraId="623CE8C1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3358" w:type="dxa"/>
          </w:tcPr>
          <w:p w14:paraId="55BA1F69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70CB19DE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  <w:tr w:rsidR="00DB65F5" w:rsidRPr="005E2E0B" w14:paraId="1007E47C" w14:textId="4A452DC1" w:rsidTr="00A65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6" w:type="dxa"/>
          </w:tcPr>
          <w:p w14:paraId="05F59F5E" w14:textId="19D51BED" w:rsidR="00DB65F5" w:rsidRPr="005E2E0B" w:rsidRDefault="00DB65F5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Trauma awareness and healing-informed approach</w:t>
            </w:r>
          </w:p>
        </w:tc>
        <w:tc>
          <w:tcPr>
            <w:tcW w:w="3169" w:type="dxa"/>
          </w:tcPr>
          <w:p w14:paraId="3AEF8728" w14:textId="06B954A4" w:rsidR="00441314" w:rsidRPr="005E2E0B" w:rsidRDefault="00441314" w:rsidP="00F06874">
            <w:p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Create environments where trauma-aware practices support healing and dignity.</w:t>
            </w:r>
          </w:p>
        </w:tc>
        <w:tc>
          <w:tcPr>
            <w:tcW w:w="3211" w:type="dxa"/>
          </w:tcPr>
          <w:p w14:paraId="3B82132B" w14:textId="0CBA1DCF" w:rsidR="00BB567E" w:rsidRPr="005E2E0B" w:rsidRDefault="00105D4A" w:rsidP="00BB567E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Train </w:t>
            </w:r>
            <w:r w:rsidR="005E2E0B" w:rsidRPr="005E2E0B">
              <w:rPr>
                <w:rFonts w:ascii="Century Gothic" w:hAnsi="Century Gothic"/>
              </w:rPr>
              <w:t>Workers</w:t>
            </w:r>
            <w:r w:rsidRPr="005E2E0B">
              <w:rPr>
                <w:rFonts w:ascii="Century Gothic" w:hAnsi="Century Gothic"/>
              </w:rPr>
              <w:t xml:space="preserve"> on trauma-aware and healing-informed care </w:t>
            </w:r>
          </w:p>
          <w:p w14:paraId="66944883" w14:textId="78708CA6" w:rsidR="00BB567E" w:rsidRPr="005E2E0B" w:rsidRDefault="00105D4A" w:rsidP="00BB567E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Use reflective practice and debriefs to support </w:t>
            </w:r>
            <w:r w:rsidR="005E2E0B">
              <w:rPr>
                <w:rFonts w:ascii="Century Gothic" w:hAnsi="Century Gothic"/>
              </w:rPr>
              <w:t>w</w:t>
            </w:r>
            <w:r w:rsidR="005E2E0B" w:rsidRPr="005E2E0B">
              <w:rPr>
                <w:rFonts w:ascii="Century Gothic" w:hAnsi="Century Gothic"/>
              </w:rPr>
              <w:t>orkers</w:t>
            </w:r>
            <w:r w:rsidR="005E2E0B">
              <w:rPr>
                <w:rFonts w:ascii="Century Gothic" w:hAnsi="Century Gothic"/>
              </w:rPr>
              <w:t>’</w:t>
            </w:r>
            <w:r w:rsidRPr="005E2E0B">
              <w:rPr>
                <w:rFonts w:ascii="Century Gothic" w:hAnsi="Century Gothic"/>
              </w:rPr>
              <w:t xml:space="preserve"> wellbeing.</w:t>
            </w:r>
          </w:p>
          <w:p w14:paraId="1220D13E" w14:textId="18E36487" w:rsidR="00105D4A" w:rsidRPr="005E2E0B" w:rsidRDefault="00105D4A" w:rsidP="00A65B6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Embed emotional and psychological safety into care planning.</w:t>
            </w:r>
          </w:p>
        </w:tc>
        <w:tc>
          <w:tcPr>
            <w:tcW w:w="3358" w:type="dxa"/>
          </w:tcPr>
          <w:p w14:paraId="29234C42" w14:textId="4F2B75A8" w:rsidR="00C233B0" w:rsidRPr="005E2E0B" w:rsidRDefault="005E2E0B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Workers</w:t>
            </w:r>
            <w:r w:rsidR="009A3BB6" w:rsidRPr="005E2E0B">
              <w:rPr>
                <w:rFonts w:ascii="Century Gothic" w:hAnsi="Century Gothic"/>
              </w:rPr>
              <w:t xml:space="preserve"> use inclusive, person-first, and non-triggering language that aligns with trauma-aware and healing-informed principles. Training and regular refreshers support this practice </w:t>
            </w:r>
          </w:p>
          <w:p w14:paraId="0041DFFB" w14:textId="264868D9" w:rsidR="0091200B" w:rsidRPr="005E2E0B" w:rsidRDefault="00C233B0" w:rsidP="00A65B6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 xml:space="preserve">Established and documented mechanisms are in place to identify, respond to, and escalate disclosures or signs of trauma. </w:t>
            </w:r>
            <w:r w:rsidR="005E2E0B" w:rsidRPr="005E2E0B">
              <w:rPr>
                <w:rFonts w:ascii="Century Gothic" w:hAnsi="Century Gothic"/>
              </w:rPr>
              <w:t>Workers</w:t>
            </w:r>
            <w:r w:rsidRPr="005E2E0B">
              <w:rPr>
                <w:rFonts w:ascii="Century Gothic" w:hAnsi="Century Gothic"/>
              </w:rPr>
              <w:t xml:space="preserve"> are aware of these pathways and know how to activate them appropriately </w:t>
            </w:r>
          </w:p>
          <w:p w14:paraId="7DFE5C03" w14:textId="0468389E" w:rsidR="00210DA3" w:rsidRPr="005E2E0B" w:rsidRDefault="005E2E0B" w:rsidP="00A65B6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5E2E0B">
              <w:rPr>
                <w:rFonts w:ascii="Century Gothic" w:hAnsi="Century Gothic"/>
              </w:rPr>
              <w:t>Consumers</w:t>
            </w:r>
            <w:r w:rsidR="008801B1" w:rsidRPr="005E2E0B">
              <w:rPr>
                <w:rFonts w:ascii="Century Gothic" w:hAnsi="Century Gothic"/>
              </w:rPr>
              <w:t xml:space="preserve"> report feeling safe and understood.</w:t>
            </w:r>
          </w:p>
          <w:p w14:paraId="636E2AA4" w14:textId="03408861" w:rsidR="00210DA3" w:rsidRPr="005E2E0B" w:rsidRDefault="00210DA3" w:rsidP="00A65B6F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5AF91B0E" w14:textId="77777777" w:rsidR="00DB65F5" w:rsidRPr="005E2E0B" w:rsidRDefault="00DB65F5" w:rsidP="00F06874">
            <w:pPr>
              <w:rPr>
                <w:rFonts w:ascii="Century Gothic" w:hAnsi="Century Gothic"/>
              </w:rPr>
            </w:pPr>
          </w:p>
        </w:tc>
      </w:tr>
    </w:tbl>
    <w:p w14:paraId="3775DCF4" w14:textId="77777777" w:rsidR="008E2550" w:rsidRPr="005E2E0B" w:rsidRDefault="008E2550">
      <w:pPr>
        <w:rPr>
          <w:rFonts w:ascii="Century Gothic" w:hAnsi="Century Gothic"/>
        </w:rPr>
      </w:pPr>
    </w:p>
    <w:sectPr w:rsidR="008E2550" w:rsidRPr="005E2E0B" w:rsidSect="008E255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03C9" w14:textId="77777777" w:rsidR="007157E0" w:rsidRDefault="007157E0" w:rsidP="00E34272">
      <w:pPr>
        <w:spacing w:after="0" w:line="240" w:lineRule="auto"/>
      </w:pPr>
      <w:r>
        <w:separator/>
      </w:r>
    </w:p>
  </w:endnote>
  <w:endnote w:type="continuationSeparator" w:id="0">
    <w:p w14:paraId="5B0D57AE" w14:textId="77777777" w:rsidR="007157E0" w:rsidRDefault="007157E0" w:rsidP="00E3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3EC1" w14:textId="0304A39C" w:rsidR="00E34272" w:rsidRDefault="00E34272">
    <w:pPr>
      <w:pStyle w:val="Footer"/>
    </w:pPr>
    <w:r>
      <w:rPr>
        <w:rStyle w:val="Emphasis"/>
        <w:rFonts w:ascii="Arial" w:hAnsi="Arial" w:cs="Arial"/>
        <w:color w:val="3F3F3F"/>
        <w:sz w:val="15"/>
        <w:szCs w:val="15"/>
        <w:shd w:val="clear" w:color="auto" w:fill="FAFAFA"/>
      </w:rPr>
      <w:t xml:space="preserve">Disclaimer: Although funding for this </w:t>
    </w:r>
    <w:r w:rsidR="004A114E">
      <w:rPr>
        <w:rStyle w:val="Emphasis"/>
        <w:rFonts w:ascii="Arial" w:hAnsi="Arial" w:cs="Arial"/>
        <w:color w:val="3F3F3F"/>
        <w:sz w:val="15"/>
        <w:szCs w:val="15"/>
        <w:shd w:val="clear" w:color="auto" w:fill="FAFAFA"/>
      </w:rPr>
      <w:t>Sector Support and Development (SSD) collaborative work</w:t>
    </w:r>
    <w:r>
      <w:rPr>
        <w:rStyle w:val="Emphasis"/>
        <w:rFonts w:ascii="Arial" w:hAnsi="Arial" w:cs="Arial"/>
        <w:color w:val="3F3F3F"/>
        <w:sz w:val="15"/>
        <w:szCs w:val="15"/>
        <w:shd w:val="clear" w:color="auto" w:fill="FAFAFA"/>
      </w:rPr>
      <w:t> has been provided by the Australian Government, the material contained herein does not necessarily represent the views or policies of the Australian Government.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1179" w14:textId="77777777" w:rsidR="007157E0" w:rsidRDefault="007157E0" w:rsidP="00E34272">
      <w:pPr>
        <w:spacing w:after="0" w:line="240" w:lineRule="auto"/>
      </w:pPr>
      <w:r>
        <w:separator/>
      </w:r>
    </w:p>
  </w:footnote>
  <w:footnote w:type="continuationSeparator" w:id="0">
    <w:p w14:paraId="5916B0CF" w14:textId="77777777" w:rsidR="007157E0" w:rsidRDefault="007157E0" w:rsidP="00E3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C0C"/>
    <w:multiLevelType w:val="hybridMultilevel"/>
    <w:tmpl w:val="AB242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14E5"/>
    <w:multiLevelType w:val="hybridMultilevel"/>
    <w:tmpl w:val="9FBC63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263BE"/>
    <w:multiLevelType w:val="hybridMultilevel"/>
    <w:tmpl w:val="93021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413D"/>
    <w:multiLevelType w:val="hybridMultilevel"/>
    <w:tmpl w:val="26E801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B565F"/>
    <w:multiLevelType w:val="hybridMultilevel"/>
    <w:tmpl w:val="DBC80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A7530"/>
    <w:multiLevelType w:val="hybridMultilevel"/>
    <w:tmpl w:val="13004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A3EFC"/>
    <w:multiLevelType w:val="hybridMultilevel"/>
    <w:tmpl w:val="10F85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F02871"/>
    <w:multiLevelType w:val="multilevel"/>
    <w:tmpl w:val="531E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434FB"/>
    <w:multiLevelType w:val="hybridMultilevel"/>
    <w:tmpl w:val="81646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73A89"/>
    <w:multiLevelType w:val="hybridMultilevel"/>
    <w:tmpl w:val="C00C3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5E660F"/>
    <w:multiLevelType w:val="hybridMultilevel"/>
    <w:tmpl w:val="2FDA2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41936"/>
    <w:multiLevelType w:val="hybridMultilevel"/>
    <w:tmpl w:val="AA38C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95791"/>
    <w:multiLevelType w:val="hybridMultilevel"/>
    <w:tmpl w:val="2C785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2F1686"/>
    <w:multiLevelType w:val="hybridMultilevel"/>
    <w:tmpl w:val="00E25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847C7"/>
    <w:multiLevelType w:val="hybridMultilevel"/>
    <w:tmpl w:val="9D706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65A92"/>
    <w:multiLevelType w:val="hybridMultilevel"/>
    <w:tmpl w:val="96305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D5F26"/>
    <w:multiLevelType w:val="hybridMultilevel"/>
    <w:tmpl w:val="C854F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245D5"/>
    <w:multiLevelType w:val="hybridMultilevel"/>
    <w:tmpl w:val="A13CF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FDD"/>
    <w:multiLevelType w:val="hybridMultilevel"/>
    <w:tmpl w:val="B7A60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32B81"/>
    <w:multiLevelType w:val="hybridMultilevel"/>
    <w:tmpl w:val="65C82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21EB2"/>
    <w:multiLevelType w:val="hybridMultilevel"/>
    <w:tmpl w:val="9DD801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115371">
    <w:abstractNumId w:val="5"/>
  </w:num>
  <w:num w:numId="2" w16cid:durableId="1269001723">
    <w:abstractNumId w:val="19"/>
  </w:num>
  <w:num w:numId="3" w16cid:durableId="1764565782">
    <w:abstractNumId w:val="10"/>
  </w:num>
  <w:num w:numId="4" w16cid:durableId="335230021">
    <w:abstractNumId w:val="17"/>
  </w:num>
  <w:num w:numId="5" w16cid:durableId="1958558899">
    <w:abstractNumId w:val="11"/>
  </w:num>
  <w:num w:numId="6" w16cid:durableId="1090853468">
    <w:abstractNumId w:val="15"/>
  </w:num>
  <w:num w:numId="7" w16cid:durableId="1198200763">
    <w:abstractNumId w:val="0"/>
  </w:num>
  <w:num w:numId="8" w16cid:durableId="1944878854">
    <w:abstractNumId w:val="14"/>
  </w:num>
  <w:num w:numId="9" w16cid:durableId="1138376732">
    <w:abstractNumId w:val="8"/>
  </w:num>
  <w:num w:numId="10" w16cid:durableId="682171077">
    <w:abstractNumId w:val="4"/>
  </w:num>
  <w:num w:numId="11" w16cid:durableId="1419789303">
    <w:abstractNumId w:val="1"/>
  </w:num>
  <w:num w:numId="12" w16cid:durableId="241379532">
    <w:abstractNumId w:val="9"/>
  </w:num>
  <w:num w:numId="13" w16cid:durableId="686832930">
    <w:abstractNumId w:val="18"/>
  </w:num>
  <w:num w:numId="14" w16cid:durableId="724644704">
    <w:abstractNumId w:val="6"/>
  </w:num>
  <w:num w:numId="15" w16cid:durableId="1425344544">
    <w:abstractNumId w:val="13"/>
  </w:num>
  <w:num w:numId="16" w16cid:durableId="833229168">
    <w:abstractNumId w:val="2"/>
  </w:num>
  <w:num w:numId="17" w16cid:durableId="435951547">
    <w:abstractNumId w:val="3"/>
  </w:num>
  <w:num w:numId="18" w16cid:durableId="475756371">
    <w:abstractNumId w:val="16"/>
  </w:num>
  <w:num w:numId="19" w16cid:durableId="1582249392">
    <w:abstractNumId w:val="12"/>
  </w:num>
  <w:num w:numId="20" w16cid:durableId="1857845008">
    <w:abstractNumId w:val="20"/>
  </w:num>
  <w:num w:numId="21" w16cid:durableId="866214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50"/>
    <w:rsid w:val="00033194"/>
    <w:rsid w:val="000507CE"/>
    <w:rsid w:val="000B33CA"/>
    <w:rsid w:val="00105D4A"/>
    <w:rsid w:val="001217DE"/>
    <w:rsid w:val="001828A2"/>
    <w:rsid w:val="001B19BC"/>
    <w:rsid w:val="001D6F3D"/>
    <w:rsid w:val="0020143A"/>
    <w:rsid w:val="00205593"/>
    <w:rsid w:val="00210DA3"/>
    <w:rsid w:val="00246B1E"/>
    <w:rsid w:val="0027087D"/>
    <w:rsid w:val="002834D3"/>
    <w:rsid w:val="00295430"/>
    <w:rsid w:val="002E0938"/>
    <w:rsid w:val="00341678"/>
    <w:rsid w:val="00400691"/>
    <w:rsid w:val="00421A07"/>
    <w:rsid w:val="00441314"/>
    <w:rsid w:val="00454814"/>
    <w:rsid w:val="0046456E"/>
    <w:rsid w:val="00476963"/>
    <w:rsid w:val="00481FA2"/>
    <w:rsid w:val="00493690"/>
    <w:rsid w:val="004A114E"/>
    <w:rsid w:val="00566CA6"/>
    <w:rsid w:val="0059681A"/>
    <w:rsid w:val="005E2E0B"/>
    <w:rsid w:val="005F37B8"/>
    <w:rsid w:val="00657059"/>
    <w:rsid w:val="00693910"/>
    <w:rsid w:val="006A3D0D"/>
    <w:rsid w:val="006E2D8E"/>
    <w:rsid w:val="007155B8"/>
    <w:rsid w:val="007157E0"/>
    <w:rsid w:val="0074616D"/>
    <w:rsid w:val="007514AE"/>
    <w:rsid w:val="00761614"/>
    <w:rsid w:val="007973BC"/>
    <w:rsid w:val="007B7945"/>
    <w:rsid w:val="00822490"/>
    <w:rsid w:val="0084103D"/>
    <w:rsid w:val="00877FD4"/>
    <w:rsid w:val="008801B1"/>
    <w:rsid w:val="008A3897"/>
    <w:rsid w:val="008B23E9"/>
    <w:rsid w:val="008C74BF"/>
    <w:rsid w:val="008E2550"/>
    <w:rsid w:val="008F7644"/>
    <w:rsid w:val="0091200B"/>
    <w:rsid w:val="00925BD8"/>
    <w:rsid w:val="009530FD"/>
    <w:rsid w:val="00961138"/>
    <w:rsid w:val="0099529D"/>
    <w:rsid w:val="00997A5C"/>
    <w:rsid w:val="009A3BB6"/>
    <w:rsid w:val="009B6A04"/>
    <w:rsid w:val="00A06594"/>
    <w:rsid w:val="00A24493"/>
    <w:rsid w:val="00A65B6F"/>
    <w:rsid w:val="00A8389C"/>
    <w:rsid w:val="00AC0DC4"/>
    <w:rsid w:val="00AE22E7"/>
    <w:rsid w:val="00AF24AA"/>
    <w:rsid w:val="00B1016B"/>
    <w:rsid w:val="00B50FAA"/>
    <w:rsid w:val="00B703DE"/>
    <w:rsid w:val="00BB567E"/>
    <w:rsid w:val="00BC0816"/>
    <w:rsid w:val="00C233B0"/>
    <w:rsid w:val="00C422AA"/>
    <w:rsid w:val="00C42BB1"/>
    <w:rsid w:val="00C86695"/>
    <w:rsid w:val="00CC0704"/>
    <w:rsid w:val="00D41E94"/>
    <w:rsid w:val="00D439AE"/>
    <w:rsid w:val="00D62A5B"/>
    <w:rsid w:val="00D92800"/>
    <w:rsid w:val="00DA23BB"/>
    <w:rsid w:val="00DB65F5"/>
    <w:rsid w:val="00DE793E"/>
    <w:rsid w:val="00E26A22"/>
    <w:rsid w:val="00E272A3"/>
    <w:rsid w:val="00E34272"/>
    <w:rsid w:val="00E526E7"/>
    <w:rsid w:val="00EA1711"/>
    <w:rsid w:val="00EA7F67"/>
    <w:rsid w:val="00EF5F05"/>
    <w:rsid w:val="00F02152"/>
    <w:rsid w:val="00F06874"/>
    <w:rsid w:val="00FA426C"/>
    <w:rsid w:val="00FA488C"/>
    <w:rsid w:val="00F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C663"/>
  <w15:chartTrackingRefBased/>
  <w15:docId w15:val="{13A8689E-9246-46EC-9802-F9D5A12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A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55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255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55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E255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E255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E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55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55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E25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A23BB"/>
    <w:pPr>
      <w:spacing w:after="0" w:line="240" w:lineRule="auto"/>
    </w:pPr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D62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A5B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A5B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5B"/>
    <w:rPr>
      <w:rFonts w:cs="Mangal"/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27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3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72"/>
    <w:rPr>
      <w:rFonts w:cs="Mangal"/>
    </w:rPr>
  </w:style>
  <w:style w:type="character" w:styleId="Emphasis">
    <w:name w:val="Emphasis"/>
    <w:basedOn w:val="DefaultParagraphFont"/>
    <w:uiPriority w:val="20"/>
    <w:qFormat/>
    <w:rsid w:val="00E34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d12378-691b-4518-9e57-f732ab1923ad}" enabled="0" method="" siteId="{abd12378-691b-4518-9e57-f732ab192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Witney</dc:creator>
  <cp:keywords/>
  <dc:description/>
  <cp:lastModifiedBy>Pauline Crameri</cp:lastModifiedBy>
  <cp:revision>2</cp:revision>
  <dcterms:created xsi:type="dcterms:W3CDTF">2026-02-12T04:53:00Z</dcterms:created>
  <dcterms:modified xsi:type="dcterms:W3CDTF">2026-02-12T04:53:00Z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88e169-3e57-4ba6-8784-9ee1cc9924dc_Enabled">
    <vt:lpwstr>true</vt:lpwstr>
  </property>
  <property fmtid="{D5CDD505-2E9C-101B-9397-08002B2CF9AE}" pid="3" name="MSIP_Label_9388e169-3e57-4ba6-8784-9ee1cc9924dc_SetDate">
    <vt:lpwstr>2025-06-16T04:37:47Z</vt:lpwstr>
  </property>
  <property fmtid="{D5CDD505-2E9C-101B-9397-08002B2CF9AE}" pid="4" name="MSIP_Label_9388e169-3e57-4ba6-8784-9ee1cc9924dc_Method">
    <vt:lpwstr>Standard</vt:lpwstr>
  </property>
  <property fmtid="{D5CDD505-2E9C-101B-9397-08002B2CF9AE}" pid="5" name="MSIP_Label_9388e169-3e57-4ba6-8784-9ee1cc9924dc_Name">
    <vt:lpwstr>Private</vt:lpwstr>
  </property>
  <property fmtid="{D5CDD505-2E9C-101B-9397-08002B2CF9AE}" pid="6" name="MSIP_Label_9388e169-3e57-4ba6-8784-9ee1cc9924dc_SiteId">
    <vt:lpwstr>6f6dcec8-a954-4e6e-8fc5-61056b9754d6</vt:lpwstr>
  </property>
  <property fmtid="{D5CDD505-2E9C-101B-9397-08002B2CF9AE}" pid="7" name="MSIP_Label_9388e169-3e57-4ba6-8784-9ee1cc9924dc_ActionId">
    <vt:lpwstr>26ad4b96-6a34-4446-b8c1-662dc00d7bea</vt:lpwstr>
  </property>
  <property fmtid="{D5CDD505-2E9C-101B-9397-08002B2CF9AE}" pid="8" name="MSIP_Label_9388e169-3e57-4ba6-8784-9ee1cc9924dc_ContentBits">
    <vt:lpwstr>0</vt:lpwstr>
  </property>
  <property fmtid="{D5CDD505-2E9C-101B-9397-08002B2CF9AE}" pid="9" name="MSIP_Label_9388e169-3e57-4ba6-8784-9ee1cc9924dc_Tag">
    <vt:lpwstr>10, 3, 0, 1</vt:lpwstr>
  </property>
</Properties>
</file>