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00FC7E5A" w:rsidRDefault="00FC7E5A" w14:paraId="3C364372" w14:textId="77777777">
      <w:pPr>
        <w:pStyle w:val="Body"/>
      </w:pPr>
    </w:p>
    <w:p w:rsidR="00FC7E5A" w:rsidRDefault="00000000" w14:paraId="08C652D8" w14:textId="73B5EC33">
      <w:pPr>
        <w:pStyle w:val="Default"/>
        <w:spacing w:before="0" w:line="240" w:lineRule="auto"/>
        <w:jc w:val="center"/>
        <w:rPr>
          <w:rFonts w:ascii="Times Roman" w:hAnsi="Times Roman" w:eastAsia="Times Roman" w:cs="Times Roman"/>
          <w:b w:val="1"/>
          <w:bCs w:val="1"/>
          <w:sz w:val="24"/>
          <w:szCs w:val="24"/>
        </w:rPr>
      </w:pPr>
      <w:r w:rsidRPr="56177D39" w:rsidR="00000000">
        <w:rPr>
          <w:rFonts w:ascii="Times Roman" w:hAnsi="Times Roman"/>
          <w:b w:val="1"/>
          <w:bCs w:val="1"/>
          <w:sz w:val="24"/>
          <w:szCs w:val="24"/>
        </w:rPr>
        <w:t xml:space="preserve"> </w:t>
      </w:r>
      <w:r w:rsidRPr="56177D39" w:rsidR="00000000">
        <w:rPr>
          <w:rStyle w:val="Heading1Char"/>
        </w:rPr>
        <w:t>Shifting Shorelines: A Geoarchaeological Perspective on the Late Pleistocene Jordan Valley</w:t>
      </w:r>
    </w:p>
    <w:p w:rsidR="00FC7E5A" w:rsidP="56177D39" w:rsidRDefault="00FC7E5A" w14:paraId="2D7FC290" w14:textId="17AC45C5">
      <w:pPr>
        <w:pStyle w:val="Body"/>
        <w:spacing w:before="0" w:line="240" w:lineRule="auto"/>
        <w:rPr>
          <w:b w:val="1"/>
          <w:bCs w:val="1"/>
        </w:rPr>
      </w:pPr>
    </w:p>
    <w:p w:rsidR="00FC7E5A" w:rsidP="56177D39" w:rsidRDefault="00FC7E5A" w14:textId="77777777" w14:paraId="57FBC6DF">
      <w:pPr>
        <w:pStyle w:val="Body"/>
        <w:spacing w:before="0" w:line="240" w:lineRule="auto"/>
        <w:rPr>
          <w:b w:val="1"/>
          <w:bCs w:val="1"/>
        </w:rPr>
      </w:pPr>
      <w:r w:rsidRPr="56177D39" w:rsidR="06AA4A5F">
        <w:rPr>
          <w:b w:val="1"/>
          <w:bCs w:val="1"/>
        </w:rPr>
        <w:t>Author: Natasha Nagle</w:t>
      </w:r>
    </w:p>
    <w:p w:rsidR="00FC7E5A" w:rsidP="56177D39" w:rsidRDefault="00FC7E5A" w14:textId="77777777" w14:paraId="77B8558C">
      <w:pPr>
        <w:pStyle w:val="Body"/>
        <w:spacing w:before="0" w:line="240" w:lineRule="auto"/>
        <w:rPr>
          <w:b w:val="1"/>
          <w:bCs w:val="1"/>
        </w:rPr>
      </w:pPr>
      <w:r w:rsidRPr="56177D39" w:rsidR="06AA4A5F">
        <w:rPr>
          <w:b w:val="1"/>
          <w:bCs w:val="1"/>
        </w:rPr>
        <w:t>PhD Candidate in Geoarchaeology</w:t>
      </w:r>
    </w:p>
    <w:p w:rsidR="00FC7E5A" w:rsidP="56177D39" w:rsidRDefault="00FC7E5A" w14:textId="77777777" w14:paraId="7534E574">
      <w:pPr>
        <w:pStyle w:val="Body"/>
        <w:spacing w:before="0" w:line="240" w:lineRule="auto"/>
        <w:rPr>
          <w:b w:val="1"/>
          <w:bCs w:val="1"/>
        </w:rPr>
      </w:pPr>
      <w:r w:rsidRPr="56177D39" w:rsidR="06AA4A5F">
        <w:rPr>
          <w:b w:val="1"/>
          <w:bCs w:val="1"/>
        </w:rPr>
        <w:t>Affiliation (1): La Trobe University, School of Humanities and Social Sciences, Department of History and Archaeology</w:t>
      </w:r>
    </w:p>
    <w:p w:rsidR="00FC7E5A" w:rsidP="56177D39" w:rsidRDefault="00FC7E5A" w14:textId="77777777" w14:paraId="2CF8E2A7">
      <w:pPr>
        <w:pStyle w:val="Body"/>
        <w:spacing w:before="0" w:line="240" w:lineRule="auto"/>
        <w:rPr>
          <w:b w:val="1"/>
          <w:bCs w:val="1"/>
        </w:rPr>
      </w:pPr>
      <w:r w:rsidRPr="56177D39" w:rsidR="06AA4A5F">
        <w:rPr>
          <w:b w:val="1"/>
          <w:bCs w:val="1"/>
        </w:rPr>
        <w:t>Email: Natasha.Nagle@latrobe.edu.au</w:t>
      </w:r>
    </w:p>
    <w:p w:rsidR="00FC7E5A" w:rsidRDefault="00FC7E5A" w14:paraId="3B64E78F" w14:textId="32F6B7EE">
      <w:pPr>
        <w:pStyle w:val="Default"/>
        <w:spacing w:before="0" w:line="240" w:lineRule="auto"/>
        <w:jc w:val="center"/>
        <w:rPr>
          <w:rFonts w:ascii="Times Roman" w:hAnsi="Times Roman" w:eastAsia="Times Roman" w:cs="Times Roman"/>
          <w:b w:val="1"/>
          <w:bCs w:val="1"/>
          <w:sz w:val="24"/>
          <w:szCs w:val="24"/>
        </w:rPr>
      </w:pPr>
    </w:p>
    <w:p w:rsidR="00FC7E5A" w:rsidP="56177D39" w:rsidRDefault="00000000" w14:paraId="2914308B" w14:textId="77777777">
      <w:pPr>
        <w:pStyle w:val="Heading2"/>
        <w:rPr>
          <w:rFonts w:ascii="Times Roman" w:hAnsi="Times Roman" w:eastAsia="Times Roman" w:cs="Times Roman"/>
          <w:i w:val="1"/>
          <w:iCs w:val="1"/>
          <w:sz w:val="24"/>
          <w:szCs w:val="24"/>
        </w:rPr>
      </w:pPr>
      <w:r w:rsidR="00000000">
        <w:rPr/>
        <w:t>Background:</w:t>
      </w:r>
    </w:p>
    <w:p w:rsidR="00FC7E5A" w:rsidP="56177D39" w:rsidRDefault="00FC7E5A" w14:paraId="069704F0" w14:textId="77777777">
      <w:pPr>
        <w:pStyle w:val="Heading2"/>
      </w:pPr>
    </w:p>
    <w:p w:rsidR="00FC7E5A" w:rsidRDefault="00000000" w14:paraId="6AA526C1" w14:textId="77777777">
      <w:pPr>
        <w:pStyle w:val="Default"/>
        <w:spacing w:before="0" w:after="240" w:line="240" w:lineRule="auto"/>
        <w:rPr>
          <w:rFonts w:ascii="Times Roman" w:hAnsi="Times Roman" w:eastAsia="Times Roman" w:cs="Times Roman"/>
          <w:sz w:val="24"/>
          <w:szCs w:val="24"/>
        </w:rPr>
      </w:pPr>
      <w:r>
        <w:rPr>
          <w:rFonts w:ascii="Times Roman" w:hAnsi="Times Roman"/>
          <w:sz w:val="24"/>
          <w:szCs w:val="24"/>
        </w:rPr>
        <w:t>Understanding the ancient environments humans would have interacted with is key to archaeologists properly interpreting the people who once lived at the sites they study.</w:t>
      </w:r>
    </w:p>
    <w:p w:rsidR="00FC7E5A" w:rsidRDefault="00000000" w14:paraId="5CCCA376" w14:textId="77777777">
      <w:pPr>
        <w:pStyle w:val="Default"/>
        <w:spacing w:before="0" w:after="240" w:line="240" w:lineRule="auto"/>
        <w:rPr>
          <w:rFonts w:ascii="Times Roman" w:hAnsi="Times Roman" w:eastAsia="Times Roman" w:cs="Times Roman"/>
          <w:sz w:val="24"/>
          <w:szCs w:val="24"/>
        </w:rPr>
      </w:pPr>
      <w:r>
        <w:rPr>
          <w:rFonts w:ascii="Times Roman" w:hAnsi="Times Roman"/>
          <w:sz w:val="24"/>
          <w:szCs w:val="24"/>
        </w:rPr>
        <w:t>In my PhD, I</w:t>
      </w:r>
      <w:r>
        <w:rPr>
          <w:rFonts w:ascii="Times Roman" w:hAnsi="Times Roman"/>
          <w:sz w:val="24"/>
          <w:szCs w:val="24"/>
          <w:rtl/>
        </w:rPr>
        <w:t>’</w:t>
      </w:r>
      <w:r>
        <w:rPr>
          <w:rFonts w:ascii="Times Roman" w:hAnsi="Times Roman"/>
          <w:sz w:val="24"/>
          <w:szCs w:val="24"/>
        </w:rPr>
        <w:t xml:space="preserve">m analyzing the Damya Formation, thought to be deposited in the Jordan Valley (Figure 1) by the Damya Lake (~16-15/14 </w:t>
      </w:r>
      <w:proofErr w:type="spellStart"/>
      <w:r>
        <w:rPr>
          <w:rFonts w:ascii="Times Roman" w:hAnsi="Times Roman"/>
          <w:sz w:val="24"/>
          <w:szCs w:val="24"/>
        </w:rPr>
        <w:t>kya</w:t>
      </w:r>
      <w:proofErr w:type="spellEnd"/>
      <w:r>
        <w:rPr>
          <w:rFonts w:ascii="Times Roman" w:hAnsi="Times Roman"/>
          <w:sz w:val="24"/>
          <w:szCs w:val="24"/>
        </w:rPr>
        <w:t>; Reference 1), to better understand the effects such a lake might have had on the peoples living nearby.</w:t>
      </w:r>
    </w:p>
    <w:p w:rsidR="00FC7E5A" w:rsidRDefault="00000000" w14:paraId="31A7CE8B" w14:textId="7A77A234">
      <w:pPr>
        <w:pStyle w:val="Default"/>
        <w:spacing w:before="0" w:after="240" w:line="240" w:lineRule="auto"/>
        <w:rPr>
          <w:rFonts w:ascii="Times Roman" w:hAnsi="Times Roman" w:eastAsia="Times Roman" w:cs="Times Roman"/>
          <w:sz w:val="24"/>
          <w:szCs w:val="24"/>
        </w:rPr>
      </w:pPr>
      <w:r>
        <w:rPr>
          <w:rFonts w:ascii="Times Roman" w:hAnsi="Times Roman"/>
          <w:sz w:val="24"/>
          <w:szCs w:val="24"/>
        </w:rPr>
        <w:t xml:space="preserve">Alternative text for Figure 1: the first image you can see is a map of the </w:t>
      </w:r>
      <w:r w:rsidR="000C71D1">
        <w:rPr>
          <w:rFonts w:ascii="Times Roman" w:hAnsi="Times Roman"/>
          <w:sz w:val="24"/>
          <w:szCs w:val="24"/>
        </w:rPr>
        <w:t>J</w:t>
      </w:r>
      <w:r>
        <w:rPr>
          <w:rFonts w:ascii="Times Roman" w:hAnsi="Times Roman"/>
          <w:sz w:val="24"/>
          <w:szCs w:val="24"/>
        </w:rPr>
        <w:t xml:space="preserve">ordan Valley region, with the study area along the Eastern valley circled in red, and the location of the archaeological site Wadi </w:t>
      </w:r>
      <w:proofErr w:type="spellStart"/>
      <w:r>
        <w:rPr>
          <w:rFonts w:ascii="Times Roman" w:hAnsi="Times Roman"/>
          <w:sz w:val="24"/>
          <w:szCs w:val="24"/>
        </w:rPr>
        <w:t>Hammeh</w:t>
      </w:r>
      <w:proofErr w:type="spellEnd"/>
      <w:r>
        <w:rPr>
          <w:rFonts w:ascii="Times Roman" w:hAnsi="Times Roman"/>
          <w:sz w:val="24"/>
          <w:szCs w:val="24"/>
        </w:rPr>
        <w:t xml:space="preserve"> 27 marked, underneath this is a set of three photos, the first photo shows PhD candidate Natasha Nagle (a white female wearing a bright blue shirt and ball cap) with her back turned to the camera and digging out some of her samples from the sheer side of a rock-face, the second photo shows a picture of one of the oriented block samples she has taken from one of her PhD sites showing nicely fine layers of sediment in alternating light and dark brown and tan colors, the third image is a scan of one of the geological descriptions done for such an oriented geological sample.</w:t>
      </w:r>
    </w:p>
    <w:p w:rsidR="00FC7E5A" w:rsidP="56177D39" w:rsidRDefault="00FC7E5A" w14:paraId="0DAB7AD3" w14:textId="77777777">
      <w:pPr>
        <w:pStyle w:val="Heading2"/>
      </w:pPr>
    </w:p>
    <w:p w:rsidR="00FC7E5A" w:rsidP="56177D39" w:rsidRDefault="00000000" w14:paraId="06939958" w14:textId="080B052B">
      <w:pPr>
        <w:pStyle w:val="Heading2"/>
        <w:rPr>
          <w:rFonts w:ascii="Times Roman" w:hAnsi="Times Roman" w:eastAsia="Times Roman" w:cs="Times Roman"/>
          <w:i w:val="1"/>
          <w:iCs w:val="1"/>
          <w:sz w:val="24"/>
          <w:szCs w:val="24"/>
        </w:rPr>
      </w:pPr>
      <w:r w:rsidR="00000000">
        <w:rPr/>
        <w:t xml:space="preserve">Controversy: </w:t>
      </w:r>
    </w:p>
    <w:p w:rsidR="00FC7E5A" w:rsidRDefault="00FC7E5A" w14:paraId="676E6A48" w14:textId="77777777">
      <w:pPr>
        <w:pStyle w:val="Default"/>
        <w:spacing w:before="0" w:line="240" w:lineRule="auto"/>
        <w:rPr>
          <w:rFonts w:ascii="Times Roman" w:hAnsi="Times Roman" w:eastAsia="Times Roman" w:cs="Times Roman"/>
          <w:i/>
          <w:iCs/>
          <w:sz w:val="24"/>
          <w:szCs w:val="24"/>
        </w:rPr>
      </w:pPr>
    </w:p>
    <w:p w:rsidR="00FC7E5A" w:rsidRDefault="00000000" w14:paraId="11F03788" w14:textId="5D0F6081">
      <w:pPr>
        <w:pStyle w:val="Default"/>
        <w:spacing w:before="0" w:after="240" w:line="240" w:lineRule="auto"/>
        <w:rPr>
          <w:rFonts w:ascii="Times Roman" w:hAnsi="Times Roman" w:eastAsia="Times Roman" w:cs="Times Roman"/>
          <w:sz w:val="24"/>
          <w:szCs w:val="24"/>
        </w:rPr>
      </w:pPr>
      <w:r>
        <w:rPr>
          <w:rFonts w:ascii="Times Roman" w:hAnsi="Times Roman"/>
          <w:sz w:val="24"/>
          <w:szCs w:val="24"/>
        </w:rPr>
        <w:t xml:space="preserve">Prior research has focused primarily on the underlying Lisan Fm, deposited by the </w:t>
      </w:r>
      <w:r w:rsidR="000C71D1">
        <w:rPr>
          <w:rFonts w:ascii="Times Roman" w:hAnsi="Times Roman"/>
          <w:sz w:val="24"/>
          <w:szCs w:val="24"/>
        </w:rPr>
        <w:t>preceding</w:t>
      </w:r>
      <w:r>
        <w:rPr>
          <w:rFonts w:ascii="Times Roman" w:hAnsi="Times Roman"/>
          <w:sz w:val="24"/>
          <w:szCs w:val="24"/>
        </w:rPr>
        <w:t xml:space="preserve"> Lisan Lake (~70-16ka; References 2, 7), or the highly saline Dead Sea (~10 ka; Reference 3).</w:t>
      </w:r>
    </w:p>
    <w:p w:rsidR="00FC7E5A" w:rsidRDefault="00000000" w14:paraId="478F1B0C" w14:textId="77777777">
      <w:pPr>
        <w:pStyle w:val="Default"/>
        <w:spacing w:before="0" w:after="240" w:line="240" w:lineRule="auto"/>
        <w:rPr>
          <w:rFonts w:ascii="Times Roman" w:hAnsi="Times Roman" w:eastAsia="Times Roman" w:cs="Times Roman"/>
          <w:sz w:val="24"/>
          <w:szCs w:val="24"/>
        </w:rPr>
      </w:pPr>
      <w:r>
        <w:rPr>
          <w:rFonts w:ascii="Times Roman" w:hAnsi="Times Roman"/>
          <w:sz w:val="24"/>
          <w:szCs w:val="24"/>
        </w:rPr>
        <w:t xml:space="preserve">Most doubt/ignore the existence of the Damya Lake, or insist it was smaller, shallower, more ephemeral, and just as saline as the Lisan Lake; directly contradicting limited research on the Damya Fm and archaeological evidence (References 4, 5), and which would have made life at Natufian sites like Wadi </w:t>
      </w:r>
      <w:proofErr w:type="spellStart"/>
      <w:r>
        <w:rPr>
          <w:rFonts w:ascii="Times Roman" w:hAnsi="Times Roman"/>
          <w:sz w:val="24"/>
          <w:szCs w:val="24"/>
        </w:rPr>
        <w:t>Hammeh</w:t>
      </w:r>
      <w:proofErr w:type="spellEnd"/>
      <w:r>
        <w:rPr>
          <w:rFonts w:ascii="Times Roman" w:hAnsi="Times Roman"/>
          <w:sz w:val="24"/>
          <w:szCs w:val="24"/>
        </w:rPr>
        <w:t xml:space="preserve"> 27 (WH27, ~12 ka) more difficult (References 5,6).</w:t>
      </w:r>
    </w:p>
    <w:p w:rsidR="00FC7E5A" w:rsidRDefault="00FC7E5A" w14:paraId="580D6F81" w14:textId="77777777">
      <w:pPr>
        <w:pStyle w:val="Default"/>
        <w:spacing w:before="0" w:line="240" w:lineRule="auto"/>
        <w:rPr>
          <w:rFonts w:ascii="Times Roman" w:hAnsi="Times Roman" w:eastAsia="Times Roman" w:cs="Times Roman"/>
          <w:i/>
          <w:iCs/>
          <w:sz w:val="24"/>
          <w:szCs w:val="24"/>
        </w:rPr>
      </w:pPr>
    </w:p>
    <w:p w:rsidR="00FC7E5A" w:rsidP="56177D39" w:rsidRDefault="00000000" w14:paraId="167B8108" w14:textId="77777777">
      <w:pPr>
        <w:pStyle w:val="Heading2"/>
        <w:rPr>
          <w:rFonts w:ascii="Times Roman" w:hAnsi="Times Roman" w:eastAsia="Times Roman" w:cs="Times Roman"/>
          <w:i w:val="1"/>
          <w:iCs w:val="1"/>
          <w:sz w:val="24"/>
          <w:szCs w:val="24"/>
        </w:rPr>
      </w:pPr>
      <w:r w:rsidR="00000000">
        <w:rPr/>
        <w:t xml:space="preserve">Methods: </w:t>
      </w:r>
    </w:p>
    <w:p w:rsidR="00FC7E5A" w:rsidRDefault="00FC7E5A" w14:paraId="1B11C93B" w14:textId="77777777">
      <w:pPr>
        <w:pStyle w:val="Default"/>
        <w:spacing w:before="0" w:line="240" w:lineRule="auto"/>
        <w:rPr>
          <w:rFonts w:ascii="Times Roman" w:hAnsi="Times Roman" w:eastAsia="Times Roman" w:cs="Times Roman"/>
          <w:i/>
          <w:iCs/>
          <w:sz w:val="24"/>
          <w:szCs w:val="24"/>
        </w:rPr>
      </w:pPr>
    </w:p>
    <w:p w:rsidR="00FC7E5A" w:rsidRDefault="00000000" w14:paraId="14618E30" w14:textId="77777777">
      <w:pPr>
        <w:pStyle w:val="Default"/>
        <w:spacing w:before="0" w:after="240" w:line="240" w:lineRule="auto"/>
        <w:rPr>
          <w:rFonts w:ascii="Times Roman" w:hAnsi="Times Roman" w:eastAsia="Times Roman" w:cs="Times Roman"/>
          <w:sz w:val="24"/>
          <w:szCs w:val="24"/>
        </w:rPr>
      </w:pPr>
      <w:r>
        <w:rPr>
          <w:rFonts w:ascii="Times Roman" w:hAnsi="Times Roman"/>
          <w:sz w:val="24"/>
          <w:szCs w:val="24"/>
        </w:rPr>
        <w:t>Two field seasons were conducted in 2023 and 2024, noted and described all remaining/accessible Damya Fm outcrops (n=18) along the Eastern Jordan Valley.</w:t>
      </w:r>
    </w:p>
    <w:p w:rsidR="00FC7E5A" w:rsidRDefault="00000000" w14:paraId="7D98924A" w14:textId="77777777">
      <w:pPr>
        <w:pStyle w:val="Default"/>
        <w:spacing w:before="0" w:after="240" w:line="240" w:lineRule="auto"/>
        <w:rPr>
          <w:rFonts w:ascii="Times Roman" w:hAnsi="Times Roman" w:eastAsia="Times Roman" w:cs="Times Roman"/>
          <w:sz w:val="24"/>
          <w:szCs w:val="24"/>
        </w:rPr>
      </w:pPr>
      <w:r>
        <w:rPr>
          <w:rFonts w:ascii="Times Roman" w:hAnsi="Times Roman"/>
          <w:sz w:val="24"/>
          <w:szCs w:val="24"/>
        </w:rPr>
        <w:lastRenderedPageBreak/>
        <w:t>&gt;500 geological and 19 dating (OSL) samples were taken to confirm outcrop chronology.</w:t>
      </w:r>
    </w:p>
    <w:p w:rsidR="00FC7E5A" w:rsidRDefault="00000000" w14:paraId="61310C54" w14:textId="77777777">
      <w:pPr>
        <w:pStyle w:val="Default"/>
        <w:spacing w:before="0" w:after="240" w:line="240" w:lineRule="auto"/>
        <w:rPr>
          <w:rFonts w:ascii="Times Roman" w:hAnsi="Times Roman" w:eastAsia="Times Roman" w:cs="Times Roman"/>
          <w:sz w:val="24"/>
          <w:szCs w:val="24"/>
        </w:rPr>
      </w:pPr>
      <w:r>
        <w:rPr>
          <w:rFonts w:ascii="Times Roman" w:hAnsi="Times Roman"/>
          <w:sz w:val="24"/>
          <w:szCs w:val="24"/>
        </w:rPr>
        <w:t>170 mineralogy (XRD), 720 particle size, 335 magnetic susceptibility, and 32 microfossils samples analyzed.</w:t>
      </w:r>
    </w:p>
    <w:p w:rsidR="00FC7E5A" w:rsidRDefault="00FC7E5A" w14:paraId="31B2DE7D" w14:textId="77777777">
      <w:pPr>
        <w:pStyle w:val="Default"/>
        <w:spacing w:before="0" w:line="240" w:lineRule="auto"/>
        <w:rPr>
          <w:rFonts w:ascii="Times Roman" w:hAnsi="Times Roman" w:eastAsia="Times Roman" w:cs="Times Roman"/>
          <w:i/>
          <w:iCs/>
          <w:sz w:val="24"/>
          <w:szCs w:val="24"/>
        </w:rPr>
      </w:pPr>
    </w:p>
    <w:p w:rsidR="00FC7E5A" w:rsidP="56177D39" w:rsidRDefault="00000000" w14:paraId="360E316F" w14:textId="77777777">
      <w:pPr>
        <w:pStyle w:val="Heading2"/>
        <w:rPr>
          <w:rFonts w:ascii="Times Roman" w:hAnsi="Times Roman" w:eastAsia="Times Roman" w:cs="Times Roman"/>
          <w:i w:val="1"/>
          <w:iCs w:val="1"/>
          <w:sz w:val="24"/>
          <w:szCs w:val="24"/>
        </w:rPr>
      </w:pPr>
      <w:r w:rsidR="00000000">
        <w:rPr/>
        <w:t xml:space="preserve">Preliminary Results: </w:t>
      </w:r>
    </w:p>
    <w:p w:rsidR="00FC7E5A" w:rsidRDefault="00FC7E5A" w14:paraId="598B48DD" w14:textId="77777777">
      <w:pPr>
        <w:pStyle w:val="Default"/>
        <w:spacing w:before="0" w:line="240" w:lineRule="auto"/>
        <w:rPr>
          <w:rFonts w:ascii="Times Roman" w:hAnsi="Times Roman" w:eastAsia="Times Roman" w:cs="Times Roman"/>
          <w:i/>
          <w:iCs/>
          <w:sz w:val="24"/>
          <w:szCs w:val="24"/>
        </w:rPr>
      </w:pPr>
    </w:p>
    <w:p w:rsidR="00FC7E5A" w:rsidRDefault="00000000" w14:paraId="4F772272" w14:textId="75BB2A6E">
      <w:pPr>
        <w:pStyle w:val="Default"/>
        <w:spacing w:before="0" w:line="240" w:lineRule="auto"/>
        <w:rPr>
          <w:rFonts w:ascii="Times Roman" w:hAnsi="Times Roman" w:eastAsia="Times Roman" w:cs="Times Roman"/>
          <w:sz w:val="24"/>
          <w:szCs w:val="24"/>
        </w:rPr>
      </w:pPr>
      <w:r>
        <w:rPr>
          <w:rFonts w:ascii="Times Roman" w:hAnsi="Times Roman"/>
          <w:sz w:val="24"/>
          <w:szCs w:val="24"/>
        </w:rPr>
        <w:t xml:space="preserve">Alternative Text for Figure 2: Three main images are displayed, the first is a photograph of the rock face at the site </w:t>
      </w:r>
      <w:proofErr w:type="spellStart"/>
      <w:r>
        <w:rPr>
          <w:rFonts w:ascii="Times Roman" w:hAnsi="Times Roman"/>
          <w:sz w:val="24"/>
          <w:szCs w:val="24"/>
        </w:rPr>
        <w:t>Mallaha</w:t>
      </w:r>
      <w:proofErr w:type="spellEnd"/>
      <w:r>
        <w:rPr>
          <w:rFonts w:ascii="Times Roman" w:hAnsi="Times Roman"/>
          <w:sz w:val="24"/>
          <w:szCs w:val="24"/>
        </w:rPr>
        <w:t xml:space="preserve"> which Natasha sampled and studied for this research. In the photo you can see the oriented samples wrapped in the plaster used to preserve them before they’re taken out of the rock face, along with labels indicating the areas where the dating samples (optically stimulated luminescence, or OSL) were also taken from the sediments, as well as some general geological labels describing the type of rock visible at the site (</w:t>
      </w:r>
      <w:proofErr w:type="spellStart"/>
      <w:r>
        <w:rPr>
          <w:rFonts w:ascii="Times Roman" w:hAnsi="Times Roman"/>
          <w:sz w:val="24"/>
          <w:szCs w:val="24"/>
        </w:rPr>
        <w:t>ie</w:t>
      </w:r>
      <w:proofErr w:type="spellEnd"/>
      <w:r>
        <w:rPr>
          <w:rFonts w:ascii="Times Roman" w:hAnsi="Times Roman"/>
          <w:sz w:val="24"/>
          <w:szCs w:val="24"/>
        </w:rPr>
        <w:t xml:space="preserve">. silt and mudstones, alternating sediments, storm deposits, and laminated marls). The second image displays a black and white version of two of the geological profiles for the sites of </w:t>
      </w:r>
      <w:proofErr w:type="spellStart"/>
      <w:r>
        <w:rPr>
          <w:rFonts w:ascii="Times Roman" w:hAnsi="Times Roman"/>
          <w:sz w:val="24"/>
          <w:szCs w:val="24"/>
        </w:rPr>
        <w:t>Mallaha</w:t>
      </w:r>
      <w:proofErr w:type="spellEnd"/>
      <w:r>
        <w:rPr>
          <w:rFonts w:ascii="Times Roman" w:hAnsi="Times Roman"/>
          <w:sz w:val="24"/>
          <w:szCs w:val="24"/>
        </w:rPr>
        <w:t xml:space="preserve"> and Damya Rd, where the rock type descriptions are also indicated and which also display the percentages of major minerals (calcite, gypsum, aragonite, quartz, and halite) as they vary down the geological sections</w:t>
      </w:r>
      <w:r w:rsidR="00C66FF7">
        <w:rPr>
          <w:rFonts w:ascii="Times Roman" w:hAnsi="Times Roman"/>
          <w:sz w:val="24"/>
          <w:szCs w:val="24"/>
        </w:rPr>
        <w:t>, less gypsum and more quartz content can indicate periods of wetter climate/more rainfall</w:t>
      </w:r>
      <w:r>
        <w:rPr>
          <w:rFonts w:ascii="Times Roman" w:hAnsi="Times Roman"/>
          <w:sz w:val="24"/>
          <w:szCs w:val="24"/>
        </w:rPr>
        <w:t xml:space="preserve">. The third and final image is an Excel plot with Age along the X-axis and depth of the samples on the Y-axis, displaying the OSL dates of the sites sampled where </w:t>
      </w:r>
      <w:proofErr w:type="spellStart"/>
      <w:r>
        <w:rPr>
          <w:rFonts w:ascii="Times Roman" w:hAnsi="Times Roman"/>
          <w:sz w:val="24"/>
          <w:szCs w:val="24"/>
        </w:rPr>
        <w:t>Mallaha</w:t>
      </w:r>
      <w:proofErr w:type="spellEnd"/>
      <w:r>
        <w:rPr>
          <w:rFonts w:ascii="Times Roman" w:hAnsi="Times Roman"/>
          <w:sz w:val="24"/>
          <w:szCs w:val="24"/>
        </w:rPr>
        <w:t xml:space="preserve"> is represented by a red ‘X’ and shows dates from 13 - 9,000 years ± 0.6 thousand years, North </w:t>
      </w:r>
      <w:proofErr w:type="spellStart"/>
      <w:r>
        <w:rPr>
          <w:rFonts w:ascii="Times Roman" w:hAnsi="Times Roman"/>
          <w:sz w:val="24"/>
          <w:szCs w:val="24"/>
        </w:rPr>
        <w:t>Shuneh</w:t>
      </w:r>
      <w:proofErr w:type="spellEnd"/>
      <w:r>
        <w:rPr>
          <w:rFonts w:ascii="Times Roman" w:hAnsi="Times Roman"/>
          <w:sz w:val="24"/>
          <w:szCs w:val="24"/>
        </w:rPr>
        <w:t xml:space="preserve"> Pumping Station (NSPS) is represented by a green triangle and displays dates from 11.5-13,500 years ± 0.9 thousand years, Rawda 1 is represented by blue diamonds and displays dates from 98-190,500 years ± about 10 thousand years, North </w:t>
      </w:r>
      <w:proofErr w:type="spellStart"/>
      <w:r>
        <w:rPr>
          <w:rFonts w:ascii="Times Roman" w:hAnsi="Times Roman"/>
          <w:sz w:val="24"/>
          <w:szCs w:val="24"/>
        </w:rPr>
        <w:t>Shuneh</w:t>
      </w:r>
      <w:proofErr w:type="spellEnd"/>
      <w:r>
        <w:rPr>
          <w:rFonts w:ascii="Times Roman" w:hAnsi="Times Roman"/>
          <w:sz w:val="24"/>
          <w:szCs w:val="24"/>
        </w:rPr>
        <w:t xml:space="preserve"> 1 is represented by an orange square and displays a date of 26.5 ±2 thousand years, and Damya </w:t>
      </w:r>
      <w:proofErr w:type="spellStart"/>
      <w:r>
        <w:rPr>
          <w:rFonts w:ascii="Times Roman" w:hAnsi="Times Roman"/>
          <w:sz w:val="24"/>
          <w:szCs w:val="24"/>
        </w:rPr>
        <w:t>rd</w:t>
      </w:r>
      <w:proofErr w:type="spellEnd"/>
      <w:r>
        <w:rPr>
          <w:rFonts w:ascii="Times Roman" w:hAnsi="Times Roman"/>
          <w:sz w:val="24"/>
          <w:szCs w:val="24"/>
        </w:rPr>
        <w:t xml:space="preserve"> is represented by a purple plus and displays a date of 27.9 ± 2.5 thousand years.</w:t>
      </w:r>
    </w:p>
    <w:p w:rsidR="00FC7E5A" w:rsidRDefault="00FC7E5A" w14:paraId="2871594A" w14:textId="77777777">
      <w:pPr>
        <w:pStyle w:val="Default"/>
        <w:spacing w:before="0" w:line="240" w:lineRule="auto"/>
        <w:rPr>
          <w:rFonts w:ascii="Times Roman" w:hAnsi="Times Roman" w:eastAsia="Times Roman" w:cs="Times Roman"/>
          <w:i/>
          <w:iCs/>
          <w:sz w:val="24"/>
          <w:szCs w:val="24"/>
        </w:rPr>
      </w:pPr>
    </w:p>
    <w:p w:rsidR="00FC7E5A" w:rsidRDefault="00000000" w14:paraId="1F7B389D" w14:textId="77777777">
      <w:pPr>
        <w:pStyle w:val="Default"/>
        <w:numPr>
          <w:ilvl w:val="0"/>
          <w:numId w:val="2"/>
        </w:numPr>
        <w:spacing w:before="0" w:line="240" w:lineRule="auto"/>
        <w:rPr>
          <w:rFonts w:hint="eastAsia" w:ascii="Times Roman" w:hAnsi="Times Roman"/>
          <w:sz w:val="24"/>
          <w:szCs w:val="24"/>
        </w:rPr>
      </w:pPr>
      <w:r>
        <w:rPr>
          <w:rFonts w:ascii="Times Roman" w:hAnsi="Times Roman"/>
          <w:sz w:val="24"/>
          <w:szCs w:val="24"/>
        </w:rPr>
        <w:t>Rather than only covering ~20 ka years of deposition, my samples unexpectedly retained ~200 ka of geological history in the Valley!</w:t>
      </w:r>
    </w:p>
    <w:p w:rsidR="00FC7E5A" w:rsidRDefault="00000000" w14:paraId="55379283" w14:textId="77777777">
      <w:pPr>
        <w:pStyle w:val="Default"/>
        <w:numPr>
          <w:ilvl w:val="0"/>
          <w:numId w:val="2"/>
        </w:numPr>
        <w:spacing w:before="0" w:line="240" w:lineRule="auto"/>
        <w:rPr>
          <w:rFonts w:hint="eastAsia" w:ascii="Times Roman" w:hAnsi="Times Roman"/>
          <w:sz w:val="24"/>
          <w:szCs w:val="24"/>
        </w:rPr>
      </w:pPr>
      <w:r>
        <w:rPr>
          <w:rFonts w:ascii="Times Roman" w:hAnsi="Times Roman"/>
          <w:sz w:val="24"/>
          <w:szCs w:val="24"/>
        </w:rPr>
        <w:t>Northmost sites sampled (~7 km S of Syrian border) contain deep lake deposits (ALM)</w:t>
      </w:r>
    </w:p>
    <w:p w:rsidR="00FC7E5A" w:rsidRDefault="00000000" w14:paraId="4FFC7D43" w14:textId="08B69A70">
      <w:pPr>
        <w:pStyle w:val="Default"/>
        <w:numPr>
          <w:ilvl w:val="0"/>
          <w:numId w:val="2"/>
        </w:numPr>
        <w:spacing w:before="0" w:line="240" w:lineRule="auto"/>
        <w:rPr>
          <w:rFonts w:hint="eastAsia" w:ascii="Times Roman" w:hAnsi="Times Roman"/>
          <w:sz w:val="24"/>
          <w:szCs w:val="24"/>
        </w:rPr>
      </w:pPr>
      <w:r>
        <w:rPr>
          <w:rFonts w:ascii="Times Roman" w:hAnsi="Times Roman"/>
          <w:sz w:val="24"/>
          <w:szCs w:val="24"/>
        </w:rPr>
        <w:t xml:space="preserve">Damya deposits (mineralogy and </w:t>
      </w:r>
      <w:r w:rsidR="00C66FF7">
        <w:rPr>
          <w:rFonts w:ascii="Times Roman" w:hAnsi="Times Roman"/>
          <w:sz w:val="24"/>
          <w:szCs w:val="24"/>
        </w:rPr>
        <w:t>fossils</w:t>
      </w:r>
      <w:r>
        <w:rPr>
          <w:rFonts w:ascii="Times Roman" w:hAnsi="Times Roman"/>
          <w:sz w:val="24"/>
          <w:szCs w:val="24"/>
        </w:rPr>
        <w:t>) indicate a generally wetter environment with periods of higher rainfall, periodically interrupted by dryer/hotter periods with high evaporation</w:t>
      </w:r>
    </w:p>
    <w:p w:rsidR="00FC7E5A" w:rsidRDefault="00000000" w14:paraId="245E4CBB" w14:textId="77777777">
      <w:pPr>
        <w:pStyle w:val="Default"/>
        <w:numPr>
          <w:ilvl w:val="0"/>
          <w:numId w:val="2"/>
        </w:numPr>
        <w:spacing w:before="0" w:line="240" w:lineRule="auto"/>
        <w:rPr>
          <w:rFonts w:hint="eastAsia" w:ascii="Times Roman" w:hAnsi="Times Roman"/>
          <w:sz w:val="24"/>
          <w:szCs w:val="24"/>
        </w:rPr>
      </w:pPr>
      <w:r>
        <w:rPr>
          <w:rFonts w:ascii="Times Roman" w:hAnsi="Times Roman"/>
          <w:sz w:val="24"/>
          <w:szCs w:val="24"/>
        </w:rPr>
        <w:t>Periods of high storm events (TBD) affected the lakes/valley across their history</w:t>
      </w:r>
    </w:p>
    <w:p w:rsidR="00FC7E5A" w:rsidRDefault="00FC7E5A" w14:paraId="50B27028" w14:textId="77777777">
      <w:pPr>
        <w:pStyle w:val="Default"/>
        <w:spacing w:before="0" w:line="240" w:lineRule="auto"/>
        <w:rPr>
          <w:rFonts w:ascii="Times Roman" w:hAnsi="Times Roman" w:eastAsia="Times Roman" w:cs="Times Roman"/>
          <w:i/>
          <w:iCs/>
          <w:sz w:val="24"/>
          <w:szCs w:val="24"/>
        </w:rPr>
      </w:pPr>
    </w:p>
    <w:p w:rsidR="00FC7E5A" w:rsidRDefault="00000000" w14:paraId="6885A0A5" w14:textId="77777777">
      <w:pPr>
        <w:pStyle w:val="Default"/>
        <w:spacing w:before="0" w:line="240" w:lineRule="auto"/>
        <w:rPr>
          <w:rFonts w:ascii="Times Roman" w:hAnsi="Times Roman" w:eastAsia="Times Roman" w:cs="Times Roman"/>
          <w:i/>
          <w:iCs/>
          <w:sz w:val="24"/>
          <w:szCs w:val="24"/>
        </w:rPr>
      </w:pPr>
      <w:r>
        <w:rPr>
          <w:rFonts w:ascii="Times Roman" w:hAnsi="Times Roman"/>
          <w:i/>
          <w:iCs/>
          <w:sz w:val="24"/>
          <w:szCs w:val="24"/>
        </w:rPr>
        <w:t xml:space="preserve">Preliminary Conclusions: </w:t>
      </w:r>
    </w:p>
    <w:p w:rsidR="00FC7E5A" w:rsidRDefault="00FC7E5A" w14:paraId="6970CC48" w14:textId="77777777">
      <w:pPr>
        <w:pStyle w:val="Default"/>
        <w:spacing w:before="0" w:line="240" w:lineRule="auto"/>
        <w:rPr>
          <w:rFonts w:ascii="Times Roman" w:hAnsi="Times Roman" w:eastAsia="Times Roman" w:cs="Times Roman"/>
          <w:i/>
          <w:iCs/>
          <w:sz w:val="24"/>
          <w:szCs w:val="24"/>
        </w:rPr>
      </w:pPr>
    </w:p>
    <w:p w:rsidR="00FC7E5A" w:rsidRDefault="00000000" w14:paraId="2759C70A" w14:textId="77777777">
      <w:pPr>
        <w:pStyle w:val="Default"/>
        <w:numPr>
          <w:ilvl w:val="0"/>
          <w:numId w:val="2"/>
        </w:numPr>
        <w:spacing w:before="0" w:line="240" w:lineRule="auto"/>
        <w:rPr>
          <w:rFonts w:hint="eastAsia" w:ascii="Times Roman" w:hAnsi="Times Roman"/>
          <w:sz w:val="24"/>
          <w:szCs w:val="24"/>
        </w:rPr>
      </w:pPr>
      <w:r>
        <w:rPr>
          <w:rFonts w:ascii="Times Roman" w:hAnsi="Times Roman"/>
          <w:sz w:val="24"/>
          <w:szCs w:val="24"/>
        </w:rPr>
        <w:t>A series of ~5 lakes spanned the full Jordan Valley with many periods of increase and decrease in size</w:t>
      </w:r>
    </w:p>
    <w:p w:rsidR="00FC7E5A" w:rsidRDefault="00000000" w14:paraId="3A359F27" w14:textId="77777777">
      <w:pPr>
        <w:pStyle w:val="Default"/>
        <w:numPr>
          <w:ilvl w:val="0"/>
          <w:numId w:val="2"/>
        </w:numPr>
        <w:spacing w:before="0" w:line="240" w:lineRule="auto"/>
        <w:rPr>
          <w:rFonts w:hint="eastAsia" w:ascii="Times Roman" w:hAnsi="Times Roman"/>
          <w:sz w:val="24"/>
          <w:szCs w:val="24"/>
        </w:rPr>
      </w:pPr>
      <w:r>
        <w:rPr>
          <w:rFonts w:ascii="Times Roman" w:hAnsi="Times Roman"/>
          <w:sz w:val="24"/>
          <w:szCs w:val="24"/>
        </w:rPr>
        <w:t xml:space="preserve">Low energy, lake deposits at the higher latitudes indicate the Damya lake was </w:t>
      </w:r>
      <w:r>
        <w:rPr>
          <w:rFonts w:ascii="Times Roman" w:hAnsi="Times Roman"/>
          <w:b/>
          <w:bCs/>
          <w:sz w:val="24"/>
          <w:szCs w:val="24"/>
        </w:rPr>
        <w:t>much larger</w:t>
      </w:r>
      <w:r>
        <w:rPr>
          <w:rFonts w:ascii="Times Roman" w:hAnsi="Times Roman"/>
          <w:sz w:val="24"/>
          <w:szCs w:val="24"/>
        </w:rPr>
        <w:t xml:space="preserve"> for </w:t>
      </w:r>
      <w:r>
        <w:rPr>
          <w:rFonts w:ascii="Times Roman" w:hAnsi="Times Roman"/>
          <w:b/>
          <w:bCs/>
          <w:sz w:val="24"/>
          <w:szCs w:val="24"/>
        </w:rPr>
        <w:t>much longer</w:t>
      </w:r>
      <w:r>
        <w:rPr>
          <w:rFonts w:ascii="Times Roman" w:hAnsi="Times Roman"/>
          <w:sz w:val="24"/>
          <w:szCs w:val="24"/>
        </w:rPr>
        <w:t xml:space="preserve"> than believed</w:t>
      </w:r>
    </w:p>
    <w:p w:rsidR="00FC7E5A" w:rsidRDefault="00000000" w14:paraId="362770D0" w14:textId="77777777">
      <w:pPr>
        <w:pStyle w:val="Default"/>
        <w:numPr>
          <w:ilvl w:val="0"/>
          <w:numId w:val="2"/>
        </w:numPr>
        <w:spacing w:before="0" w:line="240" w:lineRule="auto"/>
        <w:rPr>
          <w:rFonts w:hint="eastAsia" w:ascii="Times Roman" w:hAnsi="Times Roman"/>
          <w:sz w:val="24"/>
          <w:szCs w:val="24"/>
        </w:rPr>
      </w:pPr>
      <w:r>
        <w:rPr>
          <w:rFonts w:ascii="Times Roman" w:hAnsi="Times Roman"/>
          <w:sz w:val="24"/>
          <w:szCs w:val="24"/>
        </w:rPr>
        <w:t xml:space="preserve">Lake deposits in the N. central Valley until at least ~9 ka confirm the </w:t>
      </w:r>
      <w:r>
        <w:rPr>
          <w:rFonts w:ascii="Times Roman" w:hAnsi="Times Roman"/>
          <w:b/>
          <w:bCs/>
          <w:sz w:val="24"/>
          <w:szCs w:val="24"/>
        </w:rPr>
        <w:t>Lisan Lake did not transition directly into the Dead Sea</w:t>
      </w:r>
      <w:r>
        <w:rPr>
          <w:rFonts w:ascii="Times Roman" w:hAnsi="Times Roman"/>
          <w:sz w:val="24"/>
          <w:szCs w:val="24"/>
        </w:rPr>
        <w:t xml:space="preserve"> by ~11-10 ka</w:t>
      </w:r>
    </w:p>
    <w:p w:rsidR="00FC7E5A" w:rsidRDefault="00000000" w14:paraId="221FA6A5" w14:textId="4C534AE0">
      <w:pPr>
        <w:pStyle w:val="Default"/>
        <w:numPr>
          <w:ilvl w:val="0"/>
          <w:numId w:val="2"/>
        </w:numPr>
        <w:spacing w:before="0" w:line="240" w:lineRule="auto"/>
        <w:rPr>
          <w:rFonts w:hint="eastAsia" w:ascii="Times Roman" w:hAnsi="Times Roman"/>
          <w:sz w:val="24"/>
          <w:szCs w:val="24"/>
        </w:rPr>
      </w:pPr>
      <w:r>
        <w:rPr>
          <w:rFonts w:ascii="Times Roman" w:hAnsi="Times Roman"/>
          <w:sz w:val="24"/>
          <w:szCs w:val="24"/>
        </w:rPr>
        <w:t xml:space="preserve">WH27 was a </w:t>
      </w:r>
      <w:r>
        <w:rPr>
          <w:rFonts w:ascii="Times Roman" w:hAnsi="Times Roman"/>
          <w:b/>
          <w:bCs/>
          <w:sz w:val="24"/>
          <w:szCs w:val="24"/>
        </w:rPr>
        <w:t>brackish to freshwater lakeside settlement</w:t>
      </w:r>
      <w:r>
        <w:rPr>
          <w:rFonts w:ascii="Times Roman" w:hAnsi="Times Roman"/>
          <w:sz w:val="24"/>
          <w:szCs w:val="24"/>
        </w:rPr>
        <w:t xml:space="preserve"> (easy living!); site abandonment could have begun due to a period of slow lake </w:t>
      </w:r>
      <w:r w:rsidR="000C71D1">
        <w:rPr>
          <w:rFonts w:ascii="Times Roman" w:hAnsi="Times Roman"/>
          <w:sz w:val="24"/>
          <w:szCs w:val="24"/>
        </w:rPr>
        <w:t>receding</w:t>
      </w:r>
      <w:r>
        <w:rPr>
          <w:rFonts w:ascii="Times Roman" w:hAnsi="Times Roman"/>
          <w:sz w:val="24"/>
          <w:szCs w:val="24"/>
        </w:rPr>
        <w:t xml:space="preserve"> after ~13 ka</w:t>
      </w:r>
    </w:p>
    <w:p w:rsidR="00FC7E5A" w:rsidRDefault="00FC7E5A" w14:paraId="3348BB91" w14:textId="77777777">
      <w:pPr>
        <w:pStyle w:val="Default"/>
        <w:tabs>
          <w:tab w:val="left" w:pos="220"/>
          <w:tab w:val="left" w:pos="720"/>
        </w:tabs>
        <w:spacing w:before="0" w:line="240" w:lineRule="auto"/>
        <w:ind w:left="720" w:hanging="720"/>
        <w:rPr>
          <w:rFonts w:ascii="Times Roman" w:hAnsi="Times Roman" w:eastAsia="Times Roman" w:cs="Times Roman"/>
          <w:sz w:val="24"/>
          <w:szCs w:val="24"/>
        </w:rPr>
      </w:pPr>
    </w:p>
    <w:p w:rsidR="00FC7E5A" w:rsidRDefault="00FC7E5A" w14:paraId="0850894A" w14:textId="77777777">
      <w:pPr>
        <w:pStyle w:val="Default"/>
        <w:spacing w:before="0" w:line="240" w:lineRule="auto"/>
        <w:rPr>
          <w:rFonts w:ascii="Times Roman" w:hAnsi="Times Roman" w:eastAsia="Times Roman" w:cs="Times Roman"/>
          <w:i/>
          <w:iCs/>
          <w:sz w:val="24"/>
          <w:szCs w:val="24"/>
        </w:rPr>
      </w:pPr>
    </w:p>
    <w:p w:rsidR="00FC7E5A" w:rsidRDefault="00000000" w14:paraId="14AF86AB" w14:textId="77777777">
      <w:pPr>
        <w:pStyle w:val="Default"/>
        <w:spacing w:before="0" w:line="240" w:lineRule="auto"/>
        <w:rPr>
          <w:rFonts w:ascii="Times Roman" w:hAnsi="Times Roman" w:eastAsia="Times Roman" w:cs="Times Roman"/>
          <w:i/>
          <w:iCs/>
          <w:sz w:val="24"/>
          <w:szCs w:val="24"/>
        </w:rPr>
      </w:pPr>
      <w:r>
        <w:rPr>
          <w:rFonts w:ascii="Times Roman" w:hAnsi="Times Roman"/>
          <w:i/>
          <w:iCs/>
          <w:sz w:val="24"/>
          <w:szCs w:val="24"/>
        </w:rPr>
        <w:t xml:space="preserve">Key References: </w:t>
      </w:r>
    </w:p>
    <w:p w:rsidR="00FC7E5A" w:rsidRDefault="00FC7E5A" w14:paraId="2CCE1D19" w14:textId="77777777">
      <w:pPr>
        <w:pStyle w:val="Default"/>
        <w:spacing w:before="0" w:line="240" w:lineRule="auto"/>
        <w:rPr>
          <w:rFonts w:ascii="Times Roman" w:hAnsi="Times Roman" w:eastAsia="Times Roman" w:cs="Times Roman"/>
          <w:sz w:val="24"/>
          <w:szCs w:val="24"/>
        </w:rPr>
      </w:pPr>
    </w:p>
    <w:p w:rsidR="00FC7E5A" w:rsidRDefault="00000000" w14:paraId="7A3F0CCA" w14:textId="77777777">
      <w:pPr>
        <w:pStyle w:val="Default"/>
        <w:numPr>
          <w:ilvl w:val="0"/>
          <w:numId w:val="4"/>
        </w:numPr>
        <w:spacing w:before="0" w:line="240" w:lineRule="auto"/>
        <w:rPr>
          <w:rFonts w:hint="eastAsia" w:ascii="Times Roman" w:hAnsi="Times Roman"/>
          <w:sz w:val="24"/>
          <w:szCs w:val="24"/>
        </w:rPr>
      </w:pPr>
      <w:r>
        <w:rPr>
          <w:rFonts w:ascii="Times Roman" w:hAnsi="Times Roman"/>
          <w:sz w:val="24"/>
          <w:szCs w:val="24"/>
        </w:rPr>
        <w:t xml:space="preserve">Abed, A.M., 1985. Geology of the Damya formation. </w:t>
      </w:r>
      <w:proofErr w:type="spellStart"/>
      <w:r>
        <w:rPr>
          <w:rFonts w:ascii="Times Roman" w:hAnsi="Times Roman"/>
          <w:sz w:val="24"/>
          <w:szCs w:val="24"/>
        </w:rPr>
        <w:t>Dirasat</w:t>
      </w:r>
      <w:proofErr w:type="spellEnd"/>
      <w:r>
        <w:rPr>
          <w:rFonts w:ascii="Times Roman" w:hAnsi="Times Roman"/>
          <w:sz w:val="24"/>
          <w:szCs w:val="24"/>
        </w:rPr>
        <w:t xml:space="preserve">, 12(2.99-108). </w:t>
      </w:r>
    </w:p>
    <w:p w:rsidR="00FC7E5A" w:rsidRDefault="00000000" w14:paraId="5FDA90E0" w14:textId="77777777">
      <w:pPr>
        <w:pStyle w:val="Default"/>
        <w:numPr>
          <w:ilvl w:val="0"/>
          <w:numId w:val="4"/>
        </w:numPr>
        <w:spacing w:before="0" w:line="240" w:lineRule="auto"/>
        <w:rPr>
          <w:rFonts w:hint="eastAsia" w:ascii="Times Roman" w:hAnsi="Times Roman"/>
          <w:sz w:val="24"/>
          <w:szCs w:val="24"/>
        </w:rPr>
      </w:pPr>
      <w:r>
        <w:rPr>
          <w:rFonts w:ascii="Times Roman" w:hAnsi="Times Roman"/>
          <w:sz w:val="24"/>
          <w:szCs w:val="24"/>
        </w:rPr>
        <w:t xml:space="preserve">Landmann, G., </w:t>
      </w:r>
      <w:proofErr w:type="spellStart"/>
      <w:r>
        <w:rPr>
          <w:rFonts w:ascii="Times Roman" w:hAnsi="Times Roman"/>
          <w:sz w:val="24"/>
          <w:szCs w:val="24"/>
        </w:rPr>
        <w:t>Qudaira</w:t>
      </w:r>
      <w:proofErr w:type="spellEnd"/>
      <w:r>
        <w:rPr>
          <w:rFonts w:ascii="Times Roman" w:hAnsi="Times Roman"/>
          <w:sz w:val="24"/>
          <w:szCs w:val="24"/>
        </w:rPr>
        <w:t xml:space="preserve">, G.A., </w:t>
      </w:r>
      <w:proofErr w:type="spellStart"/>
      <w:r>
        <w:rPr>
          <w:rFonts w:ascii="Times Roman" w:hAnsi="Times Roman"/>
          <w:sz w:val="24"/>
          <w:szCs w:val="24"/>
        </w:rPr>
        <w:t>Shawabkeh</w:t>
      </w:r>
      <w:proofErr w:type="spellEnd"/>
      <w:r>
        <w:rPr>
          <w:rFonts w:ascii="Times Roman" w:hAnsi="Times Roman"/>
          <w:sz w:val="24"/>
          <w:szCs w:val="24"/>
        </w:rPr>
        <w:t xml:space="preserve">, K., Wrede, V. and Kempe, S., 2002. Geochemistry of the Lisan and Damya Formations in Jordan, and implications for </w:t>
      </w:r>
      <w:proofErr w:type="spellStart"/>
      <w:r>
        <w:rPr>
          <w:rFonts w:ascii="Times Roman" w:hAnsi="Times Roman"/>
          <w:sz w:val="24"/>
          <w:szCs w:val="24"/>
        </w:rPr>
        <w:t>palaeoclimate</w:t>
      </w:r>
      <w:proofErr w:type="spellEnd"/>
      <w:r>
        <w:rPr>
          <w:rFonts w:ascii="Times Roman" w:hAnsi="Times Roman"/>
          <w:sz w:val="24"/>
          <w:szCs w:val="24"/>
        </w:rPr>
        <w:t xml:space="preserve">. Quaternary International, 89(1), pp.45-57. </w:t>
      </w:r>
    </w:p>
    <w:p w:rsidR="00FC7E5A" w:rsidRDefault="00000000" w14:paraId="5EF4C601" w14:textId="77777777">
      <w:pPr>
        <w:pStyle w:val="Default"/>
        <w:numPr>
          <w:ilvl w:val="0"/>
          <w:numId w:val="4"/>
        </w:numPr>
        <w:spacing w:before="0" w:line="240" w:lineRule="auto"/>
        <w:rPr>
          <w:rFonts w:hint="eastAsia" w:ascii="Times Roman" w:hAnsi="Times Roman"/>
          <w:sz w:val="24"/>
          <w:szCs w:val="24"/>
        </w:rPr>
      </w:pPr>
      <w:r>
        <w:rPr>
          <w:rFonts w:ascii="Times Roman" w:hAnsi="Times Roman"/>
          <w:sz w:val="24"/>
          <w:szCs w:val="24"/>
        </w:rPr>
        <w:t xml:space="preserve">Abed, A.M., 2014. The paleoclimate of Jordan during the </w:t>
      </w:r>
      <w:proofErr w:type="spellStart"/>
      <w:r>
        <w:rPr>
          <w:rFonts w:ascii="Times Roman" w:hAnsi="Times Roman"/>
          <w:sz w:val="24"/>
          <w:szCs w:val="24"/>
        </w:rPr>
        <w:t>Pleisto-cene</w:t>
      </w:r>
      <w:proofErr w:type="spellEnd"/>
      <w:r>
        <w:rPr>
          <w:rFonts w:ascii="Times Roman" w:hAnsi="Times Roman"/>
          <w:sz w:val="24"/>
          <w:szCs w:val="24"/>
        </w:rPr>
        <w:t xml:space="preserve"> as a possible indicator for future climate change: an overview. Jordan Journal of Natural History, 1, pp.8-34. </w:t>
      </w:r>
    </w:p>
    <w:p w:rsidR="00FC7E5A" w:rsidRDefault="00000000" w14:paraId="6F5CEC07" w14:textId="77777777">
      <w:pPr>
        <w:pStyle w:val="Default"/>
        <w:numPr>
          <w:ilvl w:val="0"/>
          <w:numId w:val="4"/>
        </w:numPr>
        <w:spacing w:before="0" w:line="240" w:lineRule="auto"/>
        <w:rPr>
          <w:rFonts w:hint="eastAsia" w:ascii="Times Roman" w:hAnsi="Times Roman"/>
          <w:sz w:val="24"/>
          <w:szCs w:val="24"/>
        </w:rPr>
      </w:pPr>
      <w:r>
        <w:rPr>
          <w:rFonts w:ascii="Times Roman" w:hAnsi="Times Roman"/>
          <w:sz w:val="24"/>
          <w:szCs w:val="24"/>
        </w:rPr>
        <w:t>Macumber, P.G. and Head, M.J., 1991. Implications of the Wadi al-</w:t>
      </w:r>
      <w:proofErr w:type="spellStart"/>
      <w:r>
        <w:rPr>
          <w:rFonts w:ascii="Times Roman" w:hAnsi="Times Roman"/>
          <w:sz w:val="24"/>
          <w:szCs w:val="24"/>
        </w:rPr>
        <w:t>Hammeh</w:t>
      </w:r>
      <w:proofErr w:type="spellEnd"/>
      <w:r>
        <w:rPr>
          <w:rFonts w:ascii="Times Roman" w:hAnsi="Times Roman"/>
          <w:sz w:val="24"/>
          <w:szCs w:val="24"/>
        </w:rPr>
        <w:t xml:space="preserve"> sequences for the terminal drying of Lake Lisan, Jordan. </w:t>
      </w:r>
      <w:proofErr w:type="spellStart"/>
      <w:r>
        <w:rPr>
          <w:rFonts w:ascii="Times Roman" w:hAnsi="Times Roman"/>
          <w:sz w:val="24"/>
          <w:szCs w:val="24"/>
        </w:rPr>
        <w:t>Palaeogeography</w:t>
      </w:r>
      <w:proofErr w:type="spellEnd"/>
      <w:r>
        <w:rPr>
          <w:rFonts w:ascii="Times Roman" w:hAnsi="Times Roman"/>
          <w:sz w:val="24"/>
          <w:szCs w:val="24"/>
        </w:rPr>
        <w:t xml:space="preserve">, Palaeoclimatology, </w:t>
      </w:r>
      <w:proofErr w:type="spellStart"/>
      <w:r>
        <w:rPr>
          <w:rFonts w:ascii="Times Roman" w:hAnsi="Times Roman"/>
          <w:sz w:val="24"/>
          <w:szCs w:val="24"/>
        </w:rPr>
        <w:t>Palaeoecology</w:t>
      </w:r>
      <w:proofErr w:type="spellEnd"/>
      <w:r>
        <w:rPr>
          <w:rFonts w:ascii="Times Roman" w:hAnsi="Times Roman"/>
          <w:sz w:val="24"/>
          <w:szCs w:val="24"/>
        </w:rPr>
        <w:t xml:space="preserve">, 84(1-4), pp.163-173. </w:t>
      </w:r>
    </w:p>
    <w:p w:rsidR="00FC7E5A" w:rsidRDefault="00000000" w14:paraId="5AD7B650" w14:textId="77777777">
      <w:pPr>
        <w:pStyle w:val="Default"/>
        <w:numPr>
          <w:ilvl w:val="0"/>
          <w:numId w:val="4"/>
        </w:numPr>
        <w:spacing w:before="0" w:line="240" w:lineRule="auto"/>
        <w:rPr>
          <w:rFonts w:hint="eastAsia" w:ascii="Times Roman" w:hAnsi="Times Roman"/>
          <w:sz w:val="24"/>
          <w:szCs w:val="24"/>
        </w:rPr>
      </w:pPr>
      <w:r>
        <w:rPr>
          <w:rFonts w:ascii="Times Roman" w:hAnsi="Times Roman"/>
          <w:sz w:val="24"/>
          <w:szCs w:val="24"/>
        </w:rPr>
        <w:t xml:space="preserve">Edwards, P.C., 2013. Visual representations in stone and bone. Wadi </w:t>
      </w:r>
      <w:proofErr w:type="spellStart"/>
      <w:r>
        <w:rPr>
          <w:rFonts w:ascii="Times Roman" w:hAnsi="Times Roman"/>
          <w:sz w:val="24"/>
          <w:szCs w:val="24"/>
        </w:rPr>
        <w:t>Hammeh</w:t>
      </w:r>
      <w:proofErr w:type="spellEnd"/>
      <w:r>
        <w:rPr>
          <w:rFonts w:ascii="Times Roman" w:hAnsi="Times Roman"/>
          <w:sz w:val="24"/>
          <w:szCs w:val="24"/>
        </w:rPr>
        <w:t xml:space="preserve"> 27: an Early Natufian settlement at Pella in Jordan, pp.287-320.</w:t>
      </w:r>
    </w:p>
    <w:p w:rsidR="00FC7E5A" w:rsidRDefault="00000000" w14:paraId="2079F8F3" w14:textId="77777777">
      <w:pPr>
        <w:pStyle w:val="Default"/>
        <w:numPr>
          <w:ilvl w:val="0"/>
          <w:numId w:val="4"/>
        </w:numPr>
        <w:spacing w:before="0" w:line="240" w:lineRule="auto"/>
        <w:rPr>
          <w:rFonts w:hint="eastAsia" w:ascii="Times Roman" w:hAnsi="Times Roman"/>
          <w:sz w:val="24"/>
          <w:szCs w:val="24"/>
        </w:rPr>
      </w:pPr>
      <w:r>
        <w:rPr>
          <w:rFonts w:ascii="Times Roman" w:hAnsi="Times Roman"/>
          <w:sz w:val="24"/>
          <w:szCs w:val="24"/>
        </w:rPr>
        <w:t xml:space="preserve">Edwards, P.C., 2015. Natufian interactions along the Jordan Valley. Palestine Exploration Quarterly, 147(4), pp.272-282. </w:t>
      </w:r>
    </w:p>
    <w:p w:rsidR="00FC7E5A" w:rsidRDefault="00000000" w14:paraId="02504C9C" w14:textId="77777777">
      <w:pPr>
        <w:pStyle w:val="Default"/>
        <w:numPr>
          <w:ilvl w:val="0"/>
          <w:numId w:val="4"/>
        </w:numPr>
        <w:spacing w:before="0" w:line="240" w:lineRule="auto"/>
        <w:rPr>
          <w:rFonts w:hint="eastAsia" w:ascii="Times Roman" w:hAnsi="Times Roman"/>
          <w:sz w:val="24"/>
          <w:szCs w:val="24"/>
        </w:rPr>
      </w:pPr>
      <w:proofErr w:type="spellStart"/>
      <w:r>
        <w:rPr>
          <w:rFonts w:ascii="Times Roman" w:hAnsi="Times Roman"/>
          <w:sz w:val="24"/>
          <w:szCs w:val="24"/>
        </w:rPr>
        <w:t>Ghazleh</w:t>
      </w:r>
      <w:proofErr w:type="spellEnd"/>
      <w:r>
        <w:rPr>
          <w:rFonts w:ascii="Times Roman" w:hAnsi="Times Roman"/>
          <w:sz w:val="24"/>
          <w:szCs w:val="24"/>
        </w:rPr>
        <w:t>, S.A. and Kempe, S., 2009. Geomorphology of Lake Lisan terraces along the eastern coast of the Dead Sea, Jordan. Geomorphology, 108(3-4), pp.246-263.</w:t>
      </w:r>
    </w:p>
    <w:p w:rsidR="00FC7E5A" w:rsidRDefault="00FC7E5A" w14:paraId="5D97B757" w14:textId="77777777">
      <w:pPr>
        <w:pStyle w:val="Default"/>
        <w:spacing w:before="0" w:line="240" w:lineRule="auto"/>
        <w:rPr>
          <w:rFonts w:ascii="Times Roman" w:hAnsi="Times Roman" w:eastAsia="Times Roman" w:cs="Times Roman"/>
          <w:sz w:val="24"/>
          <w:szCs w:val="24"/>
        </w:rPr>
      </w:pPr>
    </w:p>
    <w:p w:rsidR="00FC7E5A" w:rsidRDefault="00000000" w14:paraId="20616711" w14:textId="77777777">
      <w:pPr>
        <w:pStyle w:val="Default"/>
        <w:spacing w:before="0" w:line="240" w:lineRule="auto"/>
        <w:rPr>
          <w:rFonts w:ascii="Times Roman" w:hAnsi="Times Roman" w:eastAsia="Times Roman" w:cs="Times Roman"/>
          <w:sz w:val="24"/>
          <w:szCs w:val="24"/>
        </w:rPr>
      </w:pPr>
      <w:r>
        <w:rPr>
          <w:rFonts w:ascii="Times Roman" w:hAnsi="Times Roman"/>
          <w:i/>
          <w:iCs/>
          <w:sz w:val="24"/>
          <w:szCs w:val="24"/>
        </w:rPr>
        <w:t>Copyright Information:</w:t>
      </w:r>
      <w:r>
        <w:rPr>
          <w:rFonts w:ascii="Times Roman" w:hAnsi="Times Roman"/>
          <w:sz w:val="24"/>
          <w:szCs w:val="24"/>
        </w:rPr>
        <w:t xml:space="preserve"> </w:t>
      </w:r>
    </w:p>
    <w:p w:rsidR="00FC7E5A" w:rsidRDefault="00FC7E5A" w14:paraId="53BBB537" w14:textId="77777777">
      <w:pPr>
        <w:pStyle w:val="Default"/>
        <w:spacing w:before="0" w:line="240" w:lineRule="auto"/>
        <w:rPr>
          <w:rFonts w:ascii="Times Roman" w:hAnsi="Times Roman" w:eastAsia="Times Roman" w:cs="Times Roman"/>
          <w:sz w:val="24"/>
          <w:szCs w:val="24"/>
        </w:rPr>
      </w:pPr>
    </w:p>
    <w:p w:rsidR="00FC7E5A" w:rsidRDefault="00000000" w14:paraId="6323E81A" w14:textId="77777777">
      <w:pPr>
        <w:pStyle w:val="Body"/>
      </w:pPr>
      <w:r>
        <w:t>Image of high mountains. Canva. Used under premium license</w:t>
      </w:r>
    </w:p>
    <w:p w:rsidR="00FC7E5A" w:rsidRDefault="00FC7E5A" w14:paraId="738C2793" w14:textId="77777777">
      <w:pPr>
        <w:pStyle w:val="Body"/>
      </w:pPr>
    </w:p>
    <w:p w:rsidR="00FC7E5A" w:rsidRDefault="00000000" w14:paraId="62D73573" w14:textId="77777777">
      <w:pPr>
        <w:pStyle w:val="Body"/>
      </w:pPr>
      <w:r>
        <w:t>Image of rolling hills. Canva. Used under premium license</w:t>
      </w:r>
    </w:p>
    <w:p w:rsidR="00FC7E5A" w:rsidRDefault="00FC7E5A" w14:paraId="752A7123" w14:textId="77777777">
      <w:pPr>
        <w:pStyle w:val="Body"/>
      </w:pPr>
    </w:p>
    <w:p w:rsidR="00FC7E5A" w:rsidRDefault="00000000" w14:paraId="78434F49" w14:textId="77777777">
      <w:pPr>
        <w:pStyle w:val="Body"/>
      </w:pPr>
      <w:r>
        <w:t>Image of ripped paper edge. Canva. Used under premium license</w:t>
      </w:r>
    </w:p>
    <w:p w:rsidR="00FC7E5A" w:rsidRDefault="00FC7E5A" w14:paraId="4945A239" w14:textId="77777777">
      <w:pPr>
        <w:pStyle w:val="Body"/>
      </w:pPr>
    </w:p>
    <w:p w:rsidR="00FC7E5A" w:rsidRDefault="00000000" w14:paraId="0F6D448B" w14:textId="77777777">
      <w:pPr>
        <w:pStyle w:val="Body"/>
      </w:pPr>
      <w:r>
        <w:t xml:space="preserve">Image of red location pin. Canva. Used under premium license. </w:t>
      </w:r>
    </w:p>
    <w:p w:rsidR="00FC7E5A" w:rsidRDefault="00FC7E5A" w14:paraId="6DEB482F" w14:textId="77777777">
      <w:pPr>
        <w:pStyle w:val="Default"/>
        <w:spacing w:before="0" w:line="240" w:lineRule="auto"/>
        <w:rPr>
          <w:rFonts w:ascii="Times Roman" w:hAnsi="Times Roman" w:eastAsia="Times Roman" w:cs="Times Roman"/>
          <w:sz w:val="24"/>
          <w:szCs w:val="24"/>
        </w:rPr>
      </w:pPr>
    </w:p>
    <w:p w:rsidR="009207C8" w:rsidP="009207C8" w:rsidRDefault="009207C8" w14:paraId="74645C2D"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color w:val="000000"/>
        </w:rPr>
      </w:pPr>
      <w:r>
        <w:rPr>
          <w:color w:val="000000"/>
        </w:rPr>
        <w:t>Map of sampled locations created by me (Natasha Nagle) using QGIS. All other figures and images also taken/created by me (Natasha Nagle).</w:t>
      </w:r>
    </w:p>
    <w:p w:rsidR="009207C8" w:rsidP="009207C8" w:rsidRDefault="009207C8" w14:paraId="49312E25"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Times-Roman" w:hAnsi="Times-Roman" w:cs="Times-Roman"/>
          <w:color w:val="000000"/>
        </w:rPr>
      </w:pPr>
    </w:p>
    <w:p w:rsidR="009207C8" w:rsidP="009207C8" w:rsidRDefault="009207C8" w14:paraId="7EC42EC2"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Times-Roman" w:hAnsi="Times-Roman" w:cs="Times-Roman"/>
          <w:color w:val="000000"/>
        </w:rPr>
      </w:pPr>
      <w:r>
        <w:rPr>
          <w:rFonts w:ascii="Times-Italic" w:hAnsi="Times-Italic" w:cs="Times-Italic"/>
          <w:i/>
          <w:iCs/>
          <w:color w:val="000000"/>
        </w:rPr>
        <w:t>Acknowledgements:</w:t>
      </w:r>
      <w:r>
        <w:rPr>
          <w:rFonts w:ascii="Times-Roman" w:hAnsi="Times-Roman" w:cs="Times-Roman"/>
          <w:color w:val="000000"/>
        </w:rPr>
        <w:t xml:space="preserve"> </w:t>
      </w:r>
    </w:p>
    <w:p w:rsidR="00FC7E5A" w:rsidP="009207C8" w:rsidRDefault="009207C8" w14:paraId="7674E075" w14:textId="4E83F754">
      <w:pPr>
        <w:pStyle w:val="Default"/>
        <w:spacing w:before="0" w:line="240" w:lineRule="auto"/>
      </w:pPr>
      <w:r>
        <w:rPr>
          <w:rFonts w:ascii="Times-Roman" w:hAnsi="Times-Roman" w:cs="Times-Roman"/>
        </w:rPr>
        <w:t xml:space="preserve">This doctorate is sponsored by the La Trobe University Graduate Research School as a committed scholarship attached to Dr. Phillip Edwards’s Australian Research Council Discovery Project: ‘Earliest Village People: the shift to sedentary life in the Natufian period’ (ARCDP 210102250). I would like to offer special thanks to my supervisors Dr. Phillip Edwards and Professor John Webb for their support, GSAV for their contributions to OSL funding, Dr. Sahar al </w:t>
      </w:r>
      <w:proofErr w:type="spellStart"/>
      <w:r>
        <w:rPr>
          <w:rFonts w:ascii="Times-Roman" w:hAnsi="Times-Roman" w:cs="Times-Roman"/>
        </w:rPr>
        <w:t>Khasawneh</w:t>
      </w:r>
      <w:proofErr w:type="spellEnd"/>
      <w:r>
        <w:rPr>
          <w:rFonts w:ascii="Times-Roman" w:hAnsi="Times-Roman" w:cs="Times-Roman"/>
        </w:rPr>
        <w:t xml:space="preserve"> for help with OSL dating, and the rest of the Earliest Village People Team. Additional thanks to the Jordanian Department of Antiquities for their support during fieldwork as well as La Trobe University, School of </w:t>
      </w:r>
      <w:proofErr w:type="spellStart"/>
      <w:r>
        <w:rPr>
          <w:rFonts w:ascii="Times-Roman" w:hAnsi="Times-Roman" w:cs="Times-Roman"/>
        </w:rPr>
        <w:t>HuSS</w:t>
      </w:r>
      <w:proofErr w:type="spellEnd"/>
      <w:r>
        <w:rPr>
          <w:rFonts w:ascii="Times-Roman" w:hAnsi="Times-Roman" w:cs="Times-Roman"/>
        </w:rPr>
        <w:t xml:space="preserve"> and the ARC (via Dr. Phillip Edwards’ ARC Grant) for their support with funding for the fieldwork.</w:t>
      </w:r>
    </w:p>
    <w:sectPr w:rsidR="00FC7E5A">
      <w:headerReference w:type="default" r:id="rId7"/>
      <w:footerReference w:type="default" r:id="rId8"/>
      <w:pgSz w:w="12240" w:h="15840" w:orient="portrait"/>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4E004B" w:rsidRDefault="004E004B" w14:paraId="2FB6AA46" w14:textId="77777777">
      <w:r>
        <w:separator/>
      </w:r>
    </w:p>
  </w:endnote>
  <w:endnote w:type="continuationSeparator" w:id="0">
    <w:p w:rsidR="004E004B" w:rsidRDefault="004E004B" w14:paraId="1101C26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500000000020000"/>
    <w:charset w:val="00"/>
    <w:family w:val="roman"/>
    <w:pitch w:val="default"/>
  </w:font>
  <w:font w:name="Times-Roman">
    <w:altName w:val="Times New Roman"/>
    <w:panose1 w:val="00000500000000020000"/>
    <w:charset w:val="00"/>
    <w:family w:val="roman"/>
    <w:notTrueType/>
    <w:pitch w:val="default"/>
    <w:sig w:usb0="00000003" w:usb1="00000000" w:usb2="00000000" w:usb3="00000000" w:csb0="00000001" w:csb1="00000000"/>
  </w:font>
  <w:font w:name="Times-Italic">
    <w:altName w:val="Times New Roman"/>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FC7E5A" w:rsidRDefault="00FC7E5A" w14:paraId="0B3EC495"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4E004B" w:rsidRDefault="004E004B" w14:paraId="65794091" w14:textId="77777777">
      <w:r>
        <w:separator/>
      </w:r>
    </w:p>
  </w:footnote>
  <w:footnote w:type="continuationSeparator" w:id="0">
    <w:p w:rsidR="004E004B" w:rsidRDefault="004E004B" w14:paraId="0B9CAF2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FC7E5A" w:rsidRDefault="00FC7E5A" w14:paraId="40804F11"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264902"/>
    <w:multiLevelType w:val="hybridMultilevel"/>
    <w:tmpl w:val="CCC41E42"/>
    <w:numStyleLink w:val="Bullet"/>
  </w:abstractNum>
  <w:abstractNum w:abstractNumId="1" w15:restartNumberingAfterBreak="0">
    <w:nsid w:val="172F0D30"/>
    <w:multiLevelType w:val="hybridMultilevel"/>
    <w:tmpl w:val="1C541364"/>
    <w:styleLink w:val="Lettered"/>
    <w:lvl w:ilvl="0" w:tplc="28C46C76">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73B2CD9C">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78A6DF46">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336055F6">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23E697EA">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87286C78">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A3D6D7A8">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E51CF3E8">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CFAA2732">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D8B4F13"/>
    <w:multiLevelType w:val="hybridMultilevel"/>
    <w:tmpl w:val="1C541364"/>
    <w:numStyleLink w:val="Lettered"/>
  </w:abstractNum>
  <w:abstractNum w:abstractNumId="3" w15:restartNumberingAfterBreak="0">
    <w:nsid w:val="60985FEA"/>
    <w:multiLevelType w:val="hybridMultilevel"/>
    <w:tmpl w:val="CCC41E42"/>
    <w:styleLink w:val="Bullet"/>
    <w:lvl w:ilvl="0" w:tplc="445E4ABC">
      <w:start w:val="1"/>
      <w:numFmt w:val="bullet"/>
      <w:lvlText w:val="•"/>
      <w:lvlJc w:val="left"/>
      <w:pPr>
        <w:ind w:left="720" w:hanging="500"/>
      </w:pPr>
      <w:rPr>
        <w:rFonts w:ascii="Times Roman" w:hAnsi="Times Roman" w:eastAsia="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7EDE9002">
      <w:start w:val="1"/>
      <w:numFmt w:val="bullet"/>
      <w:lvlText w:val="•"/>
      <w:lvlJc w:val="left"/>
      <w:pPr>
        <w:ind w:left="940" w:hanging="500"/>
      </w:pPr>
      <w:rPr>
        <w:rFonts w:ascii="Times Roman" w:hAnsi="Times Roman" w:eastAsia="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2" w:tplc="1E145A78">
      <w:start w:val="1"/>
      <w:numFmt w:val="bullet"/>
      <w:lvlText w:val="•"/>
      <w:lvlJc w:val="left"/>
      <w:pPr>
        <w:ind w:left="1160" w:hanging="500"/>
      </w:pPr>
      <w:rPr>
        <w:rFonts w:ascii="Times Roman" w:hAnsi="Times Roman" w:eastAsia="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3" w:tplc="160E72D6">
      <w:start w:val="1"/>
      <w:numFmt w:val="bullet"/>
      <w:lvlText w:val="•"/>
      <w:lvlJc w:val="left"/>
      <w:pPr>
        <w:ind w:left="1380" w:hanging="500"/>
      </w:pPr>
      <w:rPr>
        <w:rFonts w:ascii="Times Roman" w:hAnsi="Times Roman" w:eastAsia="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4" w:tplc="FE8E5892">
      <w:start w:val="1"/>
      <w:numFmt w:val="bullet"/>
      <w:lvlText w:val="•"/>
      <w:lvlJc w:val="left"/>
      <w:pPr>
        <w:ind w:left="1600" w:hanging="500"/>
      </w:pPr>
      <w:rPr>
        <w:rFonts w:ascii="Times Roman" w:hAnsi="Times Roman" w:eastAsia="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5" w:tplc="32DC9C6A">
      <w:start w:val="1"/>
      <w:numFmt w:val="bullet"/>
      <w:lvlText w:val="•"/>
      <w:lvlJc w:val="left"/>
      <w:pPr>
        <w:ind w:left="1820" w:hanging="500"/>
      </w:pPr>
      <w:rPr>
        <w:rFonts w:ascii="Times Roman" w:hAnsi="Times Roman" w:eastAsia="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6" w:tplc="2A28CA48">
      <w:start w:val="1"/>
      <w:numFmt w:val="bullet"/>
      <w:lvlText w:val="•"/>
      <w:lvlJc w:val="left"/>
      <w:pPr>
        <w:ind w:left="2040" w:hanging="500"/>
      </w:pPr>
      <w:rPr>
        <w:rFonts w:ascii="Times Roman" w:hAnsi="Times Roman" w:eastAsia="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7" w:tplc="D4DCB2BE">
      <w:start w:val="1"/>
      <w:numFmt w:val="bullet"/>
      <w:lvlText w:val="•"/>
      <w:lvlJc w:val="left"/>
      <w:pPr>
        <w:ind w:left="2260" w:hanging="500"/>
      </w:pPr>
      <w:rPr>
        <w:rFonts w:ascii="Times Roman" w:hAnsi="Times Roman" w:eastAsia="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8" w:tplc="ACE41E7E">
      <w:start w:val="1"/>
      <w:numFmt w:val="bullet"/>
      <w:lvlText w:val="•"/>
      <w:lvlJc w:val="left"/>
      <w:pPr>
        <w:ind w:left="2480" w:hanging="500"/>
      </w:pPr>
      <w:rPr>
        <w:rFonts w:ascii="Times Roman" w:hAnsi="Times Roman" w:eastAsia="Times Roman" w:cs="Times Roman"/>
        <w:b w:val="0"/>
        <w:bCs w:val="0"/>
        <w:i w:val="0"/>
        <w:iCs w:val="0"/>
        <w:caps w:val="0"/>
        <w:smallCaps w:val="0"/>
        <w:strike w:val="0"/>
        <w:dstrike w:val="0"/>
        <w:outline w:val="0"/>
        <w:emboss w:val="0"/>
        <w:imprint w:val="0"/>
        <w:spacing w:val="0"/>
        <w:w w:val="100"/>
        <w:kern w:val="0"/>
        <w:position w:val="-2"/>
        <w:highlight w:val="none"/>
        <w:vertAlign w:val="baseline"/>
      </w:rPr>
    </w:lvl>
  </w:abstractNum>
  <w:num w:numId="1" w16cid:durableId="1970432192">
    <w:abstractNumId w:val="3"/>
  </w:num>
  <w:num w:numId="2" w16cid:durableId="1940989993">
    <w:abstractNumId w:val="0"/>
  </w:num>
  <w:num w:numId="3" w16cid:durableId="486552282">
    <w:abstractNumId w:val="1"/>
  </w:num>
  <w:num w:numId="4" w16cid:durableId="36930046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displayBackgroundShape/>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E5A"/>
    <w:rsid w:val="00000000"/>
    <w:rsid w:val="000C71D1"/>
    <w:rsid w:val="003D4DAA"/>
    <w:rsid w:val="004E004B"/>
    <w:rsid w:val="007D4E91"/>
    <w:rsid w:val="009207C8"/>
    <w:rsid w:val="00B53798"/>
    <w:rsid w:val="00C66FF7"/>
    <w:rsid w:val="00EA6DEB"/>
    <w:rsid w:val="00FC7E5A"/>
    <w:rsid w:val="06AA4A5F"/>
    <w:rsid w:val="56177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0DCFC8"/>
  <w15:docId w15:val="{21D9AE94-1C2F-DA45-880E-4FB2162C6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hAnsi="Times New Roman" w:eastAsia="Arial Unicode MS"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Body" w:customStyle="1">
    <w:name w:val="Body"/>
    <w:rPr>
      <w:rFonts w:cs="Arial Unicode MS"/>
      <w:color w:val="000000"/>
      <w:sz w:val="24"/>
      <w:szCs w:val="24"/>
      <w14:textOutline w14:w="0" w14:cap="flat" w14:cmpd="sng" w14:algn="ctr">
        <w14:noFill/>
        <w14:prstDash w14:val="solid"/>
        <w14:bevel/>
      </w14:textOutline>
    </w:rPr>
  </w:style>
  <w:style w:type="paragraph" w:styleId="Default" w:customStyle="1">
    <w:name w:val="Default"/>
    <w:pPr>
      <w:spacing w:before="160" w:line="288" w:lineRule="auto"/>
    </w:pPr>
    <w:rPr>
      <w:rFonts w:cs="Arial Unicode MS"/>
      <w:color w:val="000000"/>
      <w:sz w:val="26"/>
      <w:szCs w:val="26"/>
      <w14:textOutline w14:w="0" w14:cap="flat" w14:cmpd="sng" w14:algn="ctr">
        <w14:noFill/>
        <w14:prstDash w14:val="solid"/>
        <w14:bevel/>
      </w14:textOutline>
    </w:rPr>
  </w:style>
  <w:style w:type="numbering" w:styleId="Bullet" w:customStyle="1">
    <w:name w:val="Bullet"/>
    <w:pPr>
      <w:numPr>
        <w:numId w:val="1"/>
      </w:numPr>
    </w:pPr>
  </w:style>
  <w:style w:type="numbering" w:styleId="Lettered" w:customStyle="1">
    <w:name w:val="Lettered"/>
    <w:pPr>
      <w:numPr>
        <w:numId w:val="3"/>
      </w:numPr>
    </w:pPr>
  </w:style>
  <w:style w:type="character" w:styleId="Heading1Char" w:customStyle="true">
    <w:uiPriority w:val="9"/>
    <w:name w:val="Heading 1 Char"/>
    <w:basedOn w:val="DefaultParagraphFont"/>
    <w:rsid w:val="56177D39"/>
    <w:rPr>
      <w:rFonts w:ascii="Times New Roman" w:hAnsi="Times New Roman" w:eastAsia="Times New Roman" w:cs="Times New Roman" w:asciiTheme="majorAscii" w:hAnsiTheme="majorAscii" w:eastAsiaTheme="majorEastAsia" w:cstheme="majorBidi"/>
      <w:color w:val="0079BF" w:themeColor="accent1" w:themeTint="FF" w:themeShade="BF"/>
      <w:sz w:val="40"/>
      <w:szCs w:val="40"/>
    </w:rPr>
  </w:style>
  <w:style w:type="paragraph" w:styleId="Heading2">
    <w:uiPriority w:val="9"/>
    <w:name w:val="heading 2"/>
    <w:basedOn w:val="Normal"/>
    <w:next w:val="Normal"/>
    <w:unhideWhenUsed/>
    <w:qFormat/>
    <w:rsid w:val="56177D39"/>
    <w:rPr>
      <w:rFonts w:ascii="Times New Roman" w:hAnsi="Times New Roman" w:eastAsia="Times New Roman" w:cs="Times New Roman" w:asciiTheme="majorAscii" w:hAnsiTheme="majorAscii" w:eastAsiaTheme="majorEastAsia" w:cstheme="majorBidi"/>
      <w:color w:val="0079BF" w:themeColor="accent1" w:themeTint="FF" w:themeShade="BF"/>
      <w:sz w:val="32"/>
      <w:szCs w:val="32"/>
    </w:rPr>
    <w:pPr>
      <w:keepNext w:val="1"/>
      <w:keepLines w:val="1"/>
      <w:spacing w:before="160" w:after="80"/>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300" b="0" i="0" u="none" strike="noStrike" cap="none" spc="0" normalizeH="0" baseline="0">
            <a:ln>
              <a:noFill/>
            </a:ln>
            <a:solidFill>
              <a:srgbClr val="FFFFFF"/>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D1F1029E4D274DB47A7F77C00CD6D8" ma:contentTypeVersion="23" ma:contentTypeDescription="Create a new document." ma:contentTypeScope="" ma:versionID="b4444eb76a4133e401fccf64f2c2c2a5">
  <xsd:schema xmlns:xsd="http://www.w3.org/2001/XMLSchema" xmlns:xs="http://www.w3.org/2001/XMLSchema" xmlns:p="http://schemas.microsoft.com/office/2006/metadata/properties" xmlns:ns2="39750c51-a536-41c6-9831-47dab69f7eb4" xmlns:ns3="8fdea3df-8dd8-4a5c-b4d4-82e8089e807b" targetNamespace="http://schemas.microsoft.com/office/2006/metadata/properties" ma:root="true" ma:fieldsID="7de8fdd4e7d437957fa5ed89d8aa5976" ns2:_="" ns3:_="">
    <xsd:import namespace="39750c51-a536-41c6-9831-47dab69f7eb4"/>
    <xsd:import namespace="8fdea3df-8dd8-4a5c-b4d4-82e8089e80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50c51-a536-41c6-9831-47dab69f7e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description="" ma:indexed="true"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76b242-6fdc-4a91-9ac1-a1e9a1762e49" ma:termSetId="09814cd3-568e-fe90-9814-8d621ff8fb84" ma:anchorId="fba54fb3-c3e1-fe81-a776-ca4b69148c4d" ma:open="true" ma:isKeyword="false">
      <xsd:complexType>
        <xsd:sequence>
          <xsd:element ref="pc:Terms" minOccurs="0" maxOccurs="1"/>
        </xsd:sequence>
      </xsd:complexType>
    </xsd:element>
    <xsd:element name="Action" ma:index="24" nillable="true" ma:displayName="Action" ma:description="Describes LPBI Team action on file" ma:format="Dropdown" ma:internalName="Action">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dea3df-8dd8-4a5c-b4d4-82e8089e80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683347-8db4-4a35-b977-431576e11d96}" ma:internalName="TaxCatchAll" ma:showField="CatchAllData" ma:web="8fdea3df-8dd8-4a5c-b4d4-82e8089e80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tion xmlns="39750c51-a536-41c6-9831-47dab69f7eb4" xsi:nil="true"/>
    <TaxCatchAll xmlns="8fdea3df-8dd8-4a5c-b4d4-82e8089e807b" xsi:nil="true"/>
    <lcf76f155ced4ddcb4097134ff3c332f xmlns="39750c51-a536-41c6-9831-47dab69f7e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19384A-0280-42A6-861D-6F4A467783D9}"/>
</file>

<file path=customXml/itemProps2.xml><?xml version="1.0" encoding="utf-8"?>
<ds:datastoreItem xmlns:ds="http://schemas.openxmlformats.org/officeDocument/2006/customXml" ds:itemID="{CC92CB7F-CE92-4CBD-8A1D-30644C3FC93B}"/>
</file>

<file path=customXml/itemProps3.xml><?xml version="1.0" encoding="utf-8"?>
<ds:datastoreItem xmlns:ds="http://schemas.openxmlformats.org/officeDocument/2006/customXml" ds:itemID="{E2BCE0EB-412F-4271-80C3-977DD2A37AA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 Bulger</cp:lastModifiedBy>
  <cp:revision>5</cp:revision>
  <dcterms:created xsi:type="dcterms:W3CDTF">2026-08-07T13:47:00Z</dcterms:created>
  <dcterms:modified xsi:type="dcterms:W3CDTF">2026-08-20T04:16:51Z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0x01010092D1F1029E4D274DB47A7F77C00CD6D8</vt:lpwstr>
  </property>
  <property fmtid="{D5CDD505-2E9C-101B-9397-08002B2CF9AE}" pid="3" name="MediaServiceImageTags">
    <vt:lpwstr/>
  </property>
</Properties>
</file>